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EC116" w14:textId="4FCF0CF1" w:rsidR="00CD7682" w:rsidRDefault="00CD7682" w:rsidP="00BD2525">
      <w:pPr>
        <w:rPr>
          <w:sz w:val="40"/>
          <w:szCs w:val="40"/>
        </w:rPr>
      </w:pPr>
    </w:p>
    <w:p w14:paraId="553057CF" w14:textId="6E6FA656" w:rsidR="00A2737B" w:rsidRDefault="00A2737B" w:rsidP="00BD2525">
      <w:pPr>
        <w:rPr>
          <w:sz w:val="40"/>
          <w:szCs w:val="40"/>
        </w:rPr>
      </w:pPr>
    </w:p>
    <w:p w14:paraId="4C4D2142" w14:textId="50224E36" w:rsidR="00A2737B" w:rsidRDefault="00A2737B" w:rsidP="00BD2525">
      <w:pPr>
        <w:rPr>
          <w:sz w:val="40"/>
          <w:szCs w:val="40"/>
        </w:rPr>
      </w:pPr>
    </w:p>
    <w:p w14:paraId="4F1F3CD1" w14:textId="77777777" w:rsidR="00A2737B" w:rsidRPr="00A2737B" w:rsidRDefault="00A2737B" w:rsidP="00BD2525">
      <w:pPr>
        <w:rPr>
          <w:sz w:val="40"/>
          <w:szCs w:val="40"/>
        </w:rPr>
      </w:pPr>
    </w:p>
    <w:p w14:paraId="0020AD3D" w14:textId="77777777" w:rsidR="00CD7682" w:rsidRDefault="00CD7682" w:rsidP="00CD7682">
      <w:pPr>
        <w:pBdr>
          <w:top w:val="single" w:sz="4" w:space="1" w:color="auto"/>
          <w:left w:val="single" w:sz="4" w:space="4" w:color="auto"/>
          <w:bottom w:val="single" w:sz="4" w:space="1" w:color="auto"/>
          <w:right w:val="single" w:sz="4" w:space="4" w:color="auto"/>
        </w:pBdr>
        <w:rPr>
          <w:b/>
          <w:sz w:val="40"/>
          <w:szCs w:val="40"/>
        </w:rPr>
      </w:pPr>
    </w:p>
    <w:p w14:paraId="7C70F027" w14:textId="5C25F02B" w:rsidR="00CD7682" w:rsidRDefault="00CD7682" w:rsidP="00CD7682">
      <w:pPr>
        <w:pBdr>
          <w:top w:val="single" w:sz="4" w:space="1" w:color="auto"/>
          <w:left w:val="single" w:sz="4" w:space="4" w:color="auto"/>
          <w:bottom w:val="single" w:sz="4" w:space="1" w:color="auto"/>
          <w:right w:val="single" w:sz="4" w:space="4" w:color="auto"/>
        </w:pBdr>
        <w:rPr>
          <w:b/>
          <w:sz w:val="40"/>
          <w:szCs w:val="40"/>
        </w:rPr>
      </w:pPr>
      <w:r w:rsidRPr="00CD7682">
        <w:rPr>
          <w:b/>
          <w:sz w:val="40"/>
          <w:szCs w:val="40"/>
        </w:rPr>
        <w:t>Action 2: Propose a EU copyright and data legislative and regulatory framework fit for research</w:t>
      </w:r>
    </w:p>
    <w:p w14:paraId="367B8E0B" w14:textId="77777777" w:rsidR="00CD7682" w:rsidRPr="00CD7682" w:rsidRDefault="00CD7682" w:rsidP="00CD7682">
      <w:pPr>
        <w:pBdr>
          <w:top w:val="single" w:sz="4" w:space="1" w:color="auto"/>
          <w:left w:val="single" w:sz="4" w:space="4" w:color="auto"/>
          <w:bottom w:val="single" w:sz="4" w:space="1" w:color="auto"/>
          <w:right w:val="single" w:sz="4" w:space="4" w:color="auto"/>
        </w:pBdr>
        <w:rPr>
          <w:sz w:val="40"/>
          <w:szCs w:val="40"/>
        </w:rPr>
      </w:pPr>
    </w:p>
    <w:p w14:paraId="599E949B" w14:textId="3C430087" w:rsidR="00CD7682" w:rsidRDefault="00CD7682" w:rsidP="00BD2525">
      <w:r>
        <w:br w:type="page"/>
      </w:r>
    </w:p>
    <w:p w14:paraId="71781A6D" w14:textId="77777777" w:rsidR="00CD7682" w:rsidRDefault="00CD7682" w:rsidP="00BD2525"/>
    <w:tbl>
      <w:tblPr>
        <w:tblStyle w:val="TableGrid"/>
        <w:tblW w:w="0" w:type="auto"/>
        <w:tblCellMar>
          <w:top w:w="113" w:type="dxa"/>
          <w:bottom w:w="113" w:type="dxa"/>
        </w:tblCellMar>
        <w:tblLook w:val="04A0" w:firstRow="1" w:lastRow="0" w:firstColumn="1" w:lastColumn="0" w:noHBand="0" w:noVBand="1"/>
      </w:tblPr>
      <w:tblGrid>
        <w:gridCol w:w="8041"/>
      </w:tblGrid>
      <w:tr w:rsidR="005204D0" w14:paraId="3F08DA65" w14:textId="77777777" w:rsidTr="37279375">
        <w:tc>
          <w:tcPr>
            <w:tcW w:w="8041" w:type="dxa"/>
            <w:tcBorders>
              <w:top w:val="single" w:sz="12" w:space="0" w:color="auto"/>
              <w:left w:val="single" w:sz="12" w:space="0" w:color="auto"/>
              <w:right w:val="single" w:sz="12" w:space="0" w:color="auto"/>
            </w:tcBorders>
            <w:shd w:val="clear" w:color="auto" w:fill="000000" w:themeFill="text1"/>
          </w:tcPr>
          <w:p w14:paraId="6840859E" w14:textId="5BDEDD57" w:rsidR="007F6ADD" w:rsidRPr="00387B96" w:rsidRDefault="005204D0" w:rsidP="0081509A">
            <w:pPr>
              <w:rPr>
                <w:b/>
              </w:rPr>
            </w:pPr>
            <w:r w:rsidRPr="00387B96">
              <w:rPr>
                <w:b/>
              </w:rPr>
              <w:t xml:space="preserve">Action </w:t>
            </w:r>
            <w:r w:rsidR="00BB2D78">
              <w:rPr>
                <w:b/>
              </w:rPr>
              <w:t>2</w:t>
            </w:r>
            <w:r w:rsidRPr="00387B96">
              <w:rPr>
                <w:b/>
              </w:rPr>
              <w:t xml:space="preserve">: </w:t>
            </w:r>
            <w:r w:rsidR="0081509A">
              <w:rPr>
                <w:b/>
              </w:rPr>
              <w:t>Propose a EU copyright and data legislative and regulatory framework fit for research</w:t>
            </w:r>
          </w:p>
        </w:tc>
      </w:tr>
      <w:tr w:rsidR="003A3000" w14:paraId="3F954BEE" w14:textId="77777777" w:rsidTr="37279375">
        <w:tc>
          <w:tcPr>
            <w:tcW w:w="8041" w:type="dxa"/>
            <w:tcBorders>
              <w:left w:val="single" w:sz="12" w:space="0" w:color="auto"/>
              <w:right w:val="single" w:sz="12" w:space="0" w:color="auto"/>
            </w:tcBorders>
          </w:tcPr>
          <w:p w14:paraId="53C66316" w14:textId="1877A30D" w:rsidR="003A3000" w:rsidRDefault="7D049350" w:rsidP="15354D38">
            <w:pPr>
              <w:rPr>
                <w:rFonts w:ascii="Calibri" w:eastAsia="Calibri" w:hAnsi="Calibri" w:cs="Calibri"/>
              </w:rPr>
            </w:pPr>
            <w:r w:rsidRPr="15354D38">
              <w:rPr>
                <w:rFonts w:ascii="Calibri" w:eastAsia="Calibri" w:hAnsi="Calibri" w:cs="Calibri"/>
              </w:rPr>
              <w:t>Member State/associated country/stakeholder</w:t>
            </w:r>
            <w:r w:rsidR="00CD7682">
              <w:rPr>
                <w:rFonts w:ascii="Calibri" w:eastAsia="Calibri" w:hAnsi="Calibri" w:cs="Calibri"/>
                <w:vertAlign w:val="superscript"/>
              </w:rPr>
              <w:t>1</w:t>
            </w:r>
            <w:r w:rsidRPr="15354D38">
              <w:rPr>
                <w:rFonts w:ascii="Calibri" w:eastAsia="Calibri" w:hAnsi="Calibri" w:cs="Calibri"/>
              </w:rPr>
              <w:t>:</w:t>
            </w:r>
          </w:p>
          <w:p w14:paraId="30DD69E4" w14:textId="70DF94DE" w:rsidR="003A3000" w:rsidRDefault="003A3000" w:rsidP="15354D38">
            <w:pPr>
              <w:rPr>
                <w:rFonts w:ascii="Calibri" w:eastAsia="Calibri" w:hAnsi="Calibri" w:cs="Calibri"/>
              </w:rPr>
            </w:pPr>
          </w:p>
          <w:p w14:paraId="791C09B1" w14:textId="2F3BBDB8" w:rsidR="003A3000" w:rsidRDefault="003A3000" w:rsidP="7D049350">
            <w:pPr>
              <w:rPr>
                <w:rFonts w:ascii="Calibri" w:eastAsia="Calibri" w:hAnsi="Calibri" w:cs="Calibri"/>
              </w:rPr>
            </w:pPr>
          </w:p>
        </w:tc>
      </w:tr>
      <w:tr w:rsidR="00CD32CA" w14:paraId="0CE2838F" w14:textId="77777777" w:rsidTr="37279375">
        <w:tc>
          <w:tcPr>
            <w:tcW w:w="8041" w:type="dxa"/>
            <w:tcBorders>
              <w:left w:val="single" w:sz="12" w:space="0" w:color="auto"/>
              <w:right w:val="single" w:sz="12" w:space="0" w:color="auto"/>
            </w:tcBorders>
          </w:tcPr>
          <w:p w14:paraId="34D41E96" w14:textId="39846292" w:rsidR="00CD32CA" w:rsidRDefault="7D049350" w:rsidP="7D049350">
            <w:pPr>
              <w:spacing w:line="257" w:lineRule="auto"/>
            </w:pPr>
            <w:r w:rsidRPr="7D049350">
              <w:rPr>
                <w:rFonts w:ascii="Calibri" w:eastAsia="Calibri" w:hAnsi="Calibri" w:cs="Calibri"/>
              </w:rPr>
              <w:t>Lead entity at national level and contact person</w:t>
            </w:r>
            <w:r w:rsidR="00CD7682" w:rsidRPr="00CD7682">
              <w:rPr>
                <w:rFonts w:ascii="Calibri" w:eastAsia="Calibri" w:hAnsi="Calibri" w:cs="Calibri"/>
                <w:vertAlign w:val="superscript"/>
              </w:rPr>
              <w:t>1</w:t>
            </w:r>
            <w:r w:rsidRPr="7D049350">
              <w:rPr>
                <w:rFonts w:ascii="Calibri" w:eastAsia="Calibri" w:hAnsi="Calibri" w:cs="Calibri"/>
              </w:rPr>
              <w:t>:</w:t>
            </w:r>
          </w:p>
          <w:p w14:paraId="3A3BC4AE" w14:textId="218B363A" w:rsidR="00CD32CA" w:rsidRDefault="7D049350" w:rsidP="15354D38">
            <w:pPr>
              <w:rPr>
                <w:rFonts w:ascii="Calibri" w:eastAsia="Calibri" w:hAnsi="Calibri" w:cs="Calibri"/>
                <w:i/>
                <w:iCs/>
                <w:sz w:val="18"/>
                <w:szCs w:val="18"/>
              </w:rPr>
            </w:pPr>
            <w:r w:rsidRPr="15354D38">
              <w:rPr>
                <w:rFonts w:ascii="Calibri" w:eastAsia="Calibri" w:hAnsi="Calibri" w:cs="Calibri"/>
                <w:i/>
                <w:iCs/>
                <w:sz w:val="18"/>
                <w:szCs w:val="18"/>
              </w:rPr>
              <w:t>[Indicate the organisation, name, position, e-mail address.]</w:t>
            </w:r>
          </w:p>
          <w:p w14:paraId="2200C03E" w14:textId="69E4A780" w:rsidR="00CD32CA" w:rsidRDefault="00CD32CA" w:rsidP="15354D38">
            <w:pPr>
              <w:rPr>
                <w:rFonts w:ascii="Calibri" w:eastAsia="Calibri" w:hAnsi="Calibri" w:cs="Calibri"/>
                <w:i/>
                <w:iCs/>
                <w:sz w:val="18"/>
                <w:szCs w:val="18"/>
              </w:rPr>
            </w:pPr>
          </w:p>
          <w:p w14:paraId="12C77669" w14:textId="0B81C2E3" w:rsidR="00CD32CA" w:rsidRDefault="00CD32CA" w:rsidP="15354D38">
            <w:pPr>
              <w:rPr>
                <w:rFonts w:ascii="Calibri" w:eastAsia="Calibri" w:hAnsi="Calibri" w:cs="Calibri"/>
                <w:i/>
                <w:iCs/>
                <w:sz w:val="18"/>
                <w:szCs w:val="18"/>
              </w:rPr>
            </w:pPr>
          </w:p>
        </w:tc>
      </w:tr>
      <w:tr w:rsidR="00CD32CA" w14:paraId="1355AE2C" w14:textId="77777777" w:rsidTr="37279375">
        <w:trPr>
          <w:trHeight w:val="3270"/>
        </w:trPr>
        <w:tc>
          <w:tcPr>
            <w:tcW w:w="8041" w:type="dxa"/>
            <w:tcBorders>
              <w:left w:val="single" w:sz="12" w:space="0" w:color="auto"/>
              <w:right w:val="single" w:sz="12" w:space="0" w:color="auto"/>
            </w:tcBorders>
          </w:tcPr>
          <w:p w14:paraId="0CDE406B" w14:textId="6BA6B24E" w:rsidR="7D049350" w:rsidRDefault="7D049350" w:rsidP="7D049350">
            <w:pPr>
              <w:spacing w:line="257" w:lineRule="auto"/>
            </w:pPr>
            <w:r w:rsidRPr="7D049350">
              <w:rPr>
                <w:rFonts w:ascii="Calibri" w:eastAsia="Calibri" w:hAnsi="Calibri" w:cs="Calibri"/>
              </w:rPr>
              <w:t>The action includes the following types of activities:</w:t>
            </w:r>
          </w:p>
          <w:p w14:paraId="3A7681B3" w14:textId="4A6A4723" w:rsidR="7D049350" w:rsidRDefault="7D049350" w:rsidP="7D049350">
            <w:pPr>
              <w:spacing w:line="257" w:lineRule="auto"/>
            </w:pPr>
            <w:r w:rsidRPr="7D049350">
              <w:rPr>
                <w:rFonts w:ascii="Calibri" w:eastAsia="Calibri" w:hAnsi="Calibri" w:cs="Calibri"/>
                <w:i/>
                <w:iCs/>
                <w:sz w:val="18"/>
                <w:szCs w:val="18"/>
              </w:rPr>
              <w:t>[These are examples of activities, in which the country or organisation could participate in. For more detailed information, including the objectives, please refer to the explanatory document(s) of this action.]</w:t>
            </w:r>
          </w:p>
          <w:p w14:paraId="5123844F" w14:textId="79EF9056" w:rsidR="7D049350" w:rsidRDefault="7D049350" w:rsidP="7D049350">
            <w:pPr>
              <w:spacing w:line="257" w:lineRule="auto"/>
              <w:rPr>
                <w:rFonts w:ascii="Calibri" w:eastAsia="Calibri" w:hAnsi="Calibri" w:cs="Calibri"/>
                <w:i/>
                <w:iCs/>
                <w:sz w:val="18"/>
                <w:szCs w:val="18"/>
              </w:rPr>
            </w:pPr>
          </w:p>
          <w:p w14:paraId="30818E12" w14:textId="01BFA877" w:rsidR="00CD32CA" w:rsidRDefault="05F3316B" w:rsidP="37279375">
            <w:pPr>
              <w:pStyle w:val="ListParagraph"/>
              <w:numPr>
                <w:ilvl w:val="0"/>
                <w:numId w:val="2"/>
              </w:numPr>
              <w:spacing w:after="120" w:line="360" w:lineRule="auto"/>
              <w:rPr>
                <w:rFonts w:asciiTheme="minorEastAsia" w:eastAsiaTheme="minorEastAsia" w:hAnsiTheme="minorEastAsia" w:cstheme="minorEastAsia"/>
              </w:rPr>
            </w:pPr>
            <w:bookmarkStart w:id="0" w:name="_GoBack"/>
            <w:r>
              <w:t>Participating or designating representatives (ideally copyright and data legislation experts) for the online workshops that will be organised in June on EU copyright and access and reuse of publications and data and on EU data and digital legislation and research.</w:t>
            </w:r>
          </w:p>
          <w:p w14:paraId="4D144E8D" w14:textId="4C7E72E1" w:rsidR="00CD32CA" w:rsidRPr="00CD7682" w:rsidRDefault="37279375" w:rsidP="37279375">
            <w:pPr>
              <w:pStyle w:val="ListParagraph"/>
              <w:numPr>
                <w:ilvl w:val="0"/>
                <w:numId w:val="2"/>
              </w:numPr>
              <w:spacing w:after="120" w:line="360" w:lineRule="auto"/>
              <w:rPr>
                <w:rFonts w:eastAsiaTheme="minorEastAsia"/>
                <w:color w:val="000000" w:themeColor="text1"/>
              </w:rPr>
            </w:pPr>
            <w:r w:rsidRPr="00CD7682">
              <w:rPr>
                <w:color w:val="000000" w:themeColor="text1"/>
              </w:rPr>
              <w:t>After the workshops, providing the views of national stakeholders on the challenges and desirable measures, in view of finalising the analysis and the proposals.</w:t>
            </w:r>
          </w:p>
          <w:p w14:paraId="1202828F" w14:textId="48F498D6" w:rsidR="00CD32CA" w:rsidRDefault="05F3316B" w:rsidP="37279375">
            <w:pPr>
              <w:pStyle w:val="ListParagraph"/>
              <w:numPr>
                <w:ilvl w:val="0"/>
                <w:numId w:val="2"/>
              </w:numPr>
              <w:spacing w:after="120" w:line="360" w:lineRule="auto"/>
              <w:rPr>
                <w:rFonts w:eastAsiaTheme="minorEastAsia"/>
              </w:rPr>
            </w:pPr>
            <w:r>
              <w:t>Providing feedback on the EC analysis on barriers/challenges and possible legislative and non-legislative measures that will be presented in the autumn.</w:t>
            </w:r>
            <w:bookmarkEnd w:id="0"/>
          </w:p>
        </w:tc>
      </w:tr>
      <w:tr w:rsidR="00387B96" w14:paraId="265650C7" w14:textId="77777777" w:rsidTr="37279375">
        <w:tc>
          <w:tcPr>
            <w:tcW w:w="8041" w:type="dxa"/>
            <w:tcBorders>
              <w:left w:val="single" w:sz="12" w:space="0" w:color="auto"/>
              <w:right w:val="single" w:sz="12" w:space="0" w:color="auto"/>
            </w:tcBorders>
          </w:tcPr>
          <w:p w14:paraId="04E7399E" w14:textId="43547A40" w:rsidR="00387B96" w:rsidRPr="00BD2525" w:rsidRDefault="7D049350" w:rsidP="00BD2525">
            <w:r w:rsidRPr="7D049350">
              <w:rPr>
                <w:rFonts w:ascii="Calibri" w:eastAsia="Calibri" w:hAnsi="Calibri" w:cs="Calibri"/>
              </w:rPr>
              <w:t>Comments, planned or ongoing activities regarding the implementation of the action</w:t>
            </w:r>
            <w:r w:rsidR="00CD7682">
              <w:rPr>
                <w:rStyle w:val="FootnoteReference"/>
                <w:rFonts w:ascii="Calibri" w:eastAsia="Calibri" w:hAnsi="Calibri" w:cs="Calibri"/>
              </w:rPr>
              <w:footnoteReference w:id="1"/>
            </w:r>
            <w:r w:rsidRPr="7D049350">
              <w:rPr>
                <w:rFonts w:ascii="Calibri" w:eastAsia="Calibri" w:hAnsi="Calibri" w:cs="Calibri"/>
              </w:rPr>
              <w:t>:</w:t>
            </w:r>
          </w:p>
          <w:p w14:paraId="55F132B2" w14:textId="2F1C421F" w:rsidR="00387B96" w:rsidRPr="00BD2525" w:rsidRDefault="7D049350" w:rsidP="7D049350">
            <w:pPr>
              <w:spacing w:line="257" w:lineRule="auto"/>
            </w:pPr>
            <w:r w:rsidRPr="15354D38">
              <w:rPr>
                <w:rFonts w:ascii="Calibri" w:eastAsia="Calibri" w:hAnsi="Calibri" w:cs="Calibri"/>
                <w:i/>
                <w:iCs/>
                <w:sz w:val="18"/>
                <w:szCs w:val="18"/>
              </w:rPr>
              <w:t>[Activities at the level of countries or organisations can be shared in this box. The activities could include national measures (e.g. reforms, initiatives, studies), the participation in EU-level activities, which are described in the explanatory document, and the engagement in transnational activities with other Member States, associated or third countries. Moreover, any other comments can be added.]</w:t>
            </w:r>
          </w:p>
          <w:p w14:paraId="5DB1AB2C" w14:textId="25108CA0" w:rsidR="00387B96" w:rsidRPr="00BD2525" w:rsidRDefault="00387B96" w:rsidP="7D049350">
            <w:pPr>
              <w:spacing w:line="257" w:lineRule="auto"/>
              <w:rPr>
                <w:rFonts w:ascii="Calibri" w:eastAsia="Calibri" w:hAnsi="Calibri" w:cs="Calibri"/>
                <w:i/>
                <w:iCs/>
                <w:sz w:val="18"/>
                <w:szCs w:val="18"/>
              </w:rPr>
            </w:pPr>
          </w:p>
          <w:p w14:paraId="61BEDB6B" w14:textId="4D5C1E68" w:rsidR="00387B96" w:rsidRPr="00BD2525" w:rsidRDefault="00387B96" w:rsidP="7D049350">
            <w:pPr>
              <w:spacing w:line="257" w:lineRule="auto"/>
              <w:rPr>
                <w:rFonts w:ascii="Calibri" w:eastAsia="Calibri" w:hAnsi="Calibri" w:cs="Calibri"/>
                <w:i/>
                <w:iCs/>
                <w:sz w:val="18"/>
                <w:szCs w:val="18"/>
              </w:rPr>
            </w:pPr>
          </w:p>
          <w:p w14:paraId="69D19969" w14:textId="31E0F330" w:rsidR="00387B96" w:rsidRPr="00BD2525" w:rsidRDefault="00387B96" w:rsidP="7D049350">
            <w:pPr>
              <w:spacing w:line="257" w:lineRule="auto"/>
              <w:rPr>
                <w:rFonts w:ascii="Calibri" w:eastAsia="Calibri" w:hAnsi="Calibri" w:cs="Calibri"/>
                <w:i/>
                <w:iCs/>
                <w:sz w:val="18"/>
                <w:szCs w:val="18"/>
              </w:rPr>
            </w:pPr>
          </w:p>
          <w:p w14:paraId="6B44FA7E" w14:textId="4170EDBD" w:rsidR="00387B96" w:rsidRPr="00BD2525" w:rsidRDefault="00387B96" w:rsidP="7D049350">
            <w:pPr>
              <w:spacing w:line="257" w:lineRule="auto"/>
              <w:rPr>
                <w:rFonts w:ascii="Calibri" w:eastAsia="Calibri" w:hAnsi="Calibri" w:cs="Calibri"/>
                <w:i/>
                <w:iCs/>
                <w:sz w:val="18"/>
                <w:szCs w:val="18"/>
              </w:rPr>
            </w:pPr>
          </w:p>
          <w:p w14:paraId="57CA8ACC" w14:textId="240DDFC2" w:rsidR="00387B96" w:rsidRPr="00BD2525" w:rsidRDefault="00387B96" w:rsidP="7D049350">
            <w:pPr>
              <w:spacing w:line="257" w:lineRule="auto"/>
              <w:rPr>
                <w:rFonts w:ascii="Calibri" w:eastAsia="Calibri" w:hAnsi="Calibri" w:cs="Calibri"/>
                <w:i/>
                <w:iCs/>
                <w:sz w:val="18"/>
                <w:szCs w:val="18"/>
              </w:rPr>
            </w:pPr>
          </w:p>
          <w:p w14:paraId="085D0EA5" w14:textId="60ECF161" w:rsidR="00387B96" w:rsidRPr="00BD2525" w:rsidRDefault="00387B96" w:rsidP="7D049350">
            <w:pPr>
              <w:spacing w:line="257" w:lineRule="auto"/>
              <w:rPr>
                <w:rFonts w:ascii="Calibri" w:eastAsia="Calibri" w:hAnsi="Calibri" w:cs="Calibri"/>
                <w:i/>
                <w:iCs/>
                <w:sz w:val="18"/>
                <w:szCs w:val="18"/>
              </w:rPr>
            </w:pPr>
          </w:p>
          <w:p w14:paraId="6543B121" w14:textId="16D6451B" w:rsidR="00387B96" w:rsidRPr="00BD2525" w:rsidRDefault="00387B96" w:rsidP="7D049350">
            <w:pPr>
              <w:spacing w:line="257" w:lineRule="auto"/>
              <w:rPr>
                <w:rFonts w:ascii="Calibri" w:eastAsia="Calibri" w:hAnsi="Calibri" w:cs="Calibri"/>
                <w:i/>
                <w:iCs/>
                <w:sz w:val="18"/>
                <w:szCs w:val="18"/>
              </w:rPr>
            </w:pPr>
          </w:p>
          <w:p w14:paraId="6BD1D23A" w14:textId="0968656F" w:rsidR="00387B96" w:rsidRPr="00BD2525" w:rsidRDefault="00387B96" w:rsidP="7D049350">
            <w:pPr>
              <w:spacing w:line="257" w:lineRule="auto"/>
              <w:rPr>
                <w:rFonts w:ascii="Calibri" w:eastAsia="Calibri" w:hAnsi="Calibri" w:cs="Calibri"/>
                <w:i/>
                <w:iCs/>
                <w:sz w:val="18"/>
                <w:szCs w:val="18"/>
              </w:rPr>
            </w:pPr>
          </w:p>
          <w:p w14:paraId="0887DD99" w14:textId="3FD3C769" w:rsidR="00387B96" w:rsidRPr="00BD2525" w:rsidRDefault="00387B96" w:rsidP="7D049350">
            <w:pPr>
              <w:spacing w:line="257" w:lineRule="auto"/>
              <w:rPr>
                <w:rFonts w:ascii="Calibri" w:eastAsia="Calibri" w:hAnsi="Calibri" w:cs="Calibri"/>
                <w:i/>
                <w:iCs/>
                <w:sz w:val="18"/>
                <w:szCs w:val="18"/>
              </w:rPr>
            </w:pPr>
          </w:p>
          <w:p w14:paraId="5829E44C" w14:textId="50C3BDDF" w:rsidR="00387B96" w:rsidRPr="00BD2525" w:rsidRDefault="00387B96" w:rsidP="7D049350">
            <w:pPr>
              <w:spacing w:line="257" w:lineRule="auto"/>
              <w:rPr>
                <w:rFonts w:ascii="Calibri" w:eastAsia="Calibri" w:hAnsi="Calibri" w:cs="Calibri"/>
                <w:i/>
                <w:iCs/>
                <w:sz w:val="18"/>
                <w:szCs w:val="18"/>
              </w:rPr>
            </w:pPr>
          </w:p>
          <w:p w14:paraId="03329657" w14:textId="6F92B033" w:rsidR="00387B96" w:rsidRPr="00BD2525" w:rsidRDefault="00387B96" w:rsidP="7D049350">
            <w:pPr>
              <w:spacing w:line="257" w:lineRule="auto"/>
              <w:rPr>
                <w:rFonts w:ascii="Calibri" w:eastAsia="Calibri" w:hAnsi="Calibri" w:cs="Calibri"/>
                <w:i/>
                <w:iCs/>
                <w:sz w:val="18"/>
                <w:szCs w:val="18"/>
              </w:rPr>
            </w:pPr>
          </w:p>
          <w:p w14:paraId="57D3F491" w14:textId="6BCF7563" w:rsidR="00387B96" w:rsidRPr="00BD2525" w:rsidRDefault="00387B96" w:rsidP="7D049350">
            <w:pPr>
              <w:spacing w:line="257" w:lineRule="auto"/>
              <w:rPr>
                <w:rFonts w:ascii="Calibri" w:eastAsia="Calibri" w:hAnsi="Calibri" w:cs="Calibri"/>
                <w:i/>
                <w:iCs/>
                <w:sz w:val="18"/>
                <w:szCs w:val="18"/>
              </w:rPr>
            </w:pPr>
          </w:p>
          <w:p w14:paraId="33C57E25" w14:textId="5C45DC92" w:rsidR="00387B96" w:rsidRPr="00BD2525" w:rsidRDefault="00387B96" w:rsidP="7D049350">
            <w:pPr>
              <w:spacing w:line="257" w:lineRule="auto"/>
              <w:rPr>
                <w:rFonts w:ascii="Calibri" w:eastAsia="Calibri" w:hAnsi="Calibri" w:cs="Calibri"/>
                <w:i/>
                <w:iCs/>
                <w:sz w:val="18"/>
                <w:szCs w:val="18"/>
              </w:rPr>
            </w:pPr>
          </w:p>
          <w:p w14:paraId="04445164" w14:textId="1C8D5B55" w:rsidR="00387B96" w:rsidRPr="00BD2525" w:rsidRDefault="00387B96" w:rsidP="7D049350"/>
        </w:tc>
      </w:tr>
    </w:tbl>
    <w:p w14:paraId="0EB79C5F" w14:textId="77777777" w:rsidR="00CD7682" w:rsidRPr="00B067DB" w:rsidRDefault="00CD7682" w:rsidP="00CD7682">
      <w:pPr>
        <w:pStyle w:val="Header"/>
        <w:ind w:left="-115"/>
        <w:jc w:val="center"/>
        <w:rPr>
          <w:i/>
        </w:rPr>
      </w:pPr>
      <w:r w:rsidRPr="00B067DB">
        <w:rPr>
          <w:i/>
        </w:rPr>
        <w:lastRenderedPageBreak/>
        <w:t>This document is a working document and should not be considered as representative of the European Commission’s official position.</w:t>
      </w:r>
    </w:p>
    <w:p w14:paraId="2FA096C6" w14:textId="77777777" w:rsidR="00CD7682" w:rsidRDefault="00CD7682" w:rsidP="00CD7682">
      <w:pPr>
        <w:jc w:val="center"/>
        <w:rPr>
          <w:u w:val="single"/>
        </w:rPr>
      </w:pPr>
    </w:p>
    <w:p w14:paraId="6FB210F0" w14:textId="053CFFCE" w:rsidR="00CD7682" w:rsidRPr="00CD7682" w:rsidRDefault="00CD7682" w:rsidP="00CD7682">
      <w:pPr>
        <w:jc w:val="center"/>
        <w:rPr>
          <w:u w:val="single"/>
        </w:rPr>
      </w:pPr>
      <w:r w:rsidRPr="007E3B29">
        <w:rPr>
          <w:u w:val="single"/>
        </w:rPr>
        <w:t>EXPLANATORY DOCUMENT</w:t>
      </w:r>
    </w:p>
    <w:tbl>
      <w:tblPr>
        <w:tblStyle w:val="TableGrid1"/>
        <w:tblW w:w="9606" w:type="dxa"/>
        <w:tblInd w:w="113" w:type="dxa"/>
        <w:tblLayout w:type="fixed"/>
        <w:tblLook w:val="04A0" w:firstRow="1" w:lastRow="0" w:firstColumn="1" w:lastColumn="0" w:noHBand="0" w:noVBand="1"/>
      </w:tblPr>
      <w:tblGrid>
        <w:gridCol w:w="2750"/>
        <w:gridCol w:w="6856"/>
      </w:tblGrid>
      <w:tr w:rsidR="00CD7682" w:rsidRPr="004B4F56" w14:paraId="5EA71A17" w14:textId="77777777" w:rsidTr="007037E4">
        <w:tc>
          <w:tcPr>
            <w:tcW w:w="9606" w:type="dxa"/>
            <w:gridSpan w:val="2"/>
          </w:tcPr>
          <w:p w14:paraId="40E65065" w14:textId="77777777" w:rsidR="00CD7682" w:rsidRPr="004B4F56" w:rsidRDefault="00CD7682" w:rsidP="007037E4">
            <w:pPr>
              <w:pStyle w:val="Default"/>
              <w:jc w:val="center"/>
              <w:rPr>
                <w:rFonts w:asciiTheme="minorHAnsi" w:hAnsiTheme="minorHAnsi" w:cstheme="minorHAnsi"/>
                <w:sz w:val="20"/>
                <w:szCs w:val="20"/>
              </w:rPr>
            </w:pPr>
            <w:r w:rsidRPr="004B4F56">
              <w:rPr>
                <w:rFonts w:asciiTheme="minorHAnsi" w:hAnsiTheme="minorHAnsi" w:cstheme="minorHAnsi"/>
                <w:b/>
                <w:bCs/>
                <w:sz w:val="22"/>
                <w:szCs w:val="20"/>
              </w:rPr>
              <w:t xml:space="preserve">Action 2: Propose a EU copyright and data legislative and regulatory framework fit for research </w:t>
            </w:r>
          </w:p>
        </w:tc>
      </w:tr>
      <w:tr w:rsidR="00CD7682" w:rsidRPr="006D569C" w14:paraId="747EA9DD" w14:textId="77777777" w:rsidTr="007037E4">
        <w:tc>
          <w:tcPr>
            <w:tcW w:w="9606" w:type="dxa"/>
            <w:gridSpan w:val="2"/>
          </w:tcPr>
          <w:p w14:paraId="4BA0D7AB" w14:textId="77777777" w:rsidR="00CD7682" w:rsidRPr="004B4F56" w:rsidRDefault="00CD7682" w:rsidP="007037E4">
            <w:pPr>
              <w:spacing w:before="120" w:after="120"/>
              <w:rPr>
                <w:i/>
                <w:iCs/>
                <w:lang w:val="fr-BE"/>
              </w:rPr>
            </w:pPr>
            <w:r w:rsidRPr="17485481">
              <w:rPr>
                <w:i/>
                <w:iCs/>
                <w:lang w:val="fr-BE"/>
              </w:rPr>
              <w:t>Contact point: Alea López de San Román, DG R&amp;I.A4</w:t>
            </w:r>
          </w:p>
        </w:tc>
      </w:tr>
      <w:tr w:rsidR="00CD7682" w:rsidRPr="004B4F56" w14:paraId="1E9AC223" w14:textId="77777777" w:rsidTr="007037E4">
        <w:tc>
          <w:tcPr>
            <w:tcW w:w="2750" w:type="dxa"/>
          </w:tcPr>
          <w:p w14:paraId="3A476EF5" w14:textId="77777777" w:rsidR="00CD7682" w:rsidRPr="004B4F56" w:rsidRDefault="00CD7682" w:rsidP="00CD7682">
            <w:pPr>
              <w:pStyle w:val="ListParagraph"/>
              <w:numPr>
                <w:ilvl w:val="0"/>
                <w:numId w:val="10"/>
              </w:numPr>
              <w:spacing w:before="120" w:after="120"/>
              <w:rPr>
                <w:rFonts w:cstheme="minorHAnsi"/>
                <w:b/>
              </w:rPr>
            </w:pPr>
            <w:r w:rsidRPr="004B4F56">
              <w:rPr>
                <w:rFonts w:cstheme="minorHAnsi"/>
                <w:b/>
              </w:rPr>
              <w:t>Description</w:t>
            </w:r>
          </w:p>
        </w:tc>
        <w:tc>
          <w:tcPr>
            <w:tcW w:w="6856" w:type="dxa"/>
          </w:tcPr>
          <w:p w14:paraId="61788797" w14:textId="77777777" w:rsidR="00CD7682" w:rsidRDefault="00CD7682" w:rsidP="007037E4">
            <w:pPr>
              <w:pStyle w:val="Pa19"/>
              <w:jc w:val="both"/>
              <w:rPr>
                <w:rFonts w:asciiTheme="minorHAnsi" w:hAnsiTheme="minorHAnsi" w:cstheme="minorHAnsi"/>
                <w:sz w:val="22"/>
                <w:szCs w:val="22"/>
              </w:rPr>
            </w:pPr>
          </w:p>
          <w:p w14:paraId="67F69CD8" w14:textId="77777777" w:rsidR="00CD7682" w:rsidRPr="004B4F56" w:rsidRDefault="00CD7682" w:rsidP="007037E4">
            <w:pPr>
              <w:pStyle w:val="Pa19"/>
              <w:jc w:val="both"/>
              <w:rPr>
                <w:rFonts w:asciiTheme="minorHAnsi" w:hAnsiTheme="minorHAnsi" w:cstheme="minorHAnsi"/>
                <w:sz w:val="22"/>
                <w:szCs w:val="22"/>
              </w:rPr>
            </w:pPr>
            <w:r w:rsidRPr="00372426">
              <w:rPr>
                <w:rFonts w:asciiTheme="minorHAnsi" w:hAnsiTheme="minorHAnsi" w:cstheme="minorHAnsi"/>
                <w:b/>
                <w:sz w:val="22"/>
                <w:szCs w:val="22"/>
              </w:rPr>
              <w:t>A legislative and regulatory framework fit for research should enable</w:t>
            </w:r>
            <w:r w:rsidRPr="004B4F56">
              <w:rPr>
                <w:rFonts w:asciiTheme="minorHAnsi" w:hAnsiTheme="minorHAnsi" w:cstheme="minorHAnsi"/>
                <w:sz w:val="22"/>
                <w:szCs w:val="22"/>
              </w:rPr>
              <w:t xml:space="preserve">, among other things: </w:t>
            </w:r>
          </w:p>
          <w:p w14:paraId="7AEC075F" w14:textId="77777777" w:rsidR="00CD7682" w:rsidRPr="004B4F56" w:rsidRDefault="00CD7682" w:rsidP="007037E4">
            <w:pPr>
              <w:pStyle w:val="Pa26"/>
              <w:ind w:left="440" w:hanging="220"/>
              <w:jc w:val="both"/>
              <w:rPr>
                <w:rFonts w:asciiTheme="minorHAnsi" w:hAnsiTheme="minorHAnsi" w:cstheme="minorHAnsi"/>
                <w:sz w:val="22"/>
                <w:szCs w:val="22"/>
              </w:rPr>
            </w:pPr>
            <w:r w:rsidRPr="004B4F56">
              <w:rPr>
                <w:rFonts w:asciiTheme="minorHAnsi" w:hAnsiTheme="minorHAnsi" w:cstheme="minorHAnsi"/>
                <w:b/>
                <w:bCs/>
                <w:sz w:val="22"/>
                <w:szCs w:val="22"/>
              </w:rPr>
              <w:t xml:space="preserve">• </w:t>
            </w:r>
            <w:r w:rsidRPr="004B4F56">
              <w:rPr>
                <w:rFonts w:asciiTheme="minorHAnsi" w:hAnsiTheme="minorHAnsi" w:cstheme="minorHAnsi"/>
                <w:sz w:val="22"/>
                <w:szCs w:val="22"/>
              </w:rPr>
              <w:t>access to (including open access) and reuse of publicly funded R&amp;I results;</w:t>
            </w:r>
          </w:p>
          <w:p w14:paraId="4BE3BFD9" w14:textId="77777777" w:rsidR="00CD7682" w:rsidRPr="004B4F56" w:rsidRDefault="00CD7682" w:rsidP="007037E4">
            <w:pPr>
              <w:pStyle w:val="Pa26"/>
              <w:ind w:left="440" w:hanging="220"/>
              <w:jc w:val="both"/>
              <w:rPr>
                <w:rFonts w:asciiTheme="minorHAnsi" w:hAnsiTheme="minorHAnsi" w:cstheme="minorHAnsi"/>
                <w:sz w:val="22"/>
                <w:szCs w:val="22"/>
              </w:rPr>
            </w:pPr>
            <w:r w:rsidRPr="004B4F56">
              <w:rPr>
                <w:rFonts w:asciiTheme="minorHAnsi" w:hAnsiTheme="minorHAnsi" w:cstheme="minorHAnsi"/>
                <w:b/>
                <w:bCs/>
                <w:sz w:val="22"/>
                <w:szCs w:val="22"/>
              </w:rPr>
              <w:t xml:space="preserve">• </w:t>
            </w:r>
            <w:r w:rsidRPr="004B4F56">
              <w:rPr>
                <w:rFonts w:asciiTheme="minorHAnsi" w:hAnsiTheme="minorHAnsi" w:cstheme="minorHAnsi"/>
                <w:sz w:val="22"/>
                <w:szCs w:val="22"/>
              </w:rPr>
              <w:t xml:space="preserve">access to (including open access) and reuse of publications and data for research purposes; </w:t>
            </w:r>
          </w:p>
          <w:p w14:paraId="7B43B6E1" w14:textId="77777777" w:rsidR="00CD7682" w:rsidRPr="004B4F56" w:rsidRDefault="00CD7682" w:rsidP="007037E4">
            <w:pPr>
              <w:pStyle w:val="Pa26"/>
              <w:ind w:left="440" w:hanging="220"/>
              <w:jc w:val="both"/>
              <w:rPr>
                <w:rFonts w:asciiTheme="minorHAnsi" w:hAnsiTheme="minorHAnsi" w:cstheme="minorHAnsi"/>
                <w:sz w:val="22"/>
                <w:szCs w:val="22"/>
              </w:rPr>
            </w:pPr>
            <w:r w:rsidRPr="004B4F56">
              <w:rPr>
                <w:rFonts w:asciiTheme="minorHAnsi" w:hAnsiTheme="minorHAnsi" w:cstheme="minorHAnsi"/>
                <w:b/>
                <w:bCs/>
                <w:sz w:val="22"/>
                <w:szCs w:val="22"/>
              </w:rPr>
              <w:t xml:space="preserve">• </w:t>
            </w:r>
            <w:r w:rsidRPr="004B4F56">
              <w:rPr>
                <w:rFonts w:asciiTheme="minorHAnsi" w:hAnsiTheme="minorHAnsi" w:cstheme="minorHAnsi"/>
                <w:sz w:val="22"/>
                <w:szCs w:val="22"/>
              </w:rPr>
              <w:t xml:space="preserve">data services and infrastructures managed by/for the benefit of research stakeholders; and </w:t>
            </w:r>
          </w:p>
          <w:p w14:paraId="6FCBC7C7" w14:textId="77777777" w:rsidR="00CD7682" w:rsidRDefault="00CD7682" w:rsidP="007037E4">
            <w:pPr>
              <w:pStyle w:val="Default"/>
              <w:ind w:left="220"/>
              <w:rPr>
                <w:rFonts w:asciiTheme="minorHAnsi" w:hAnsiTheme="minorHAnsi" w:cstheme="minorHAnsi"/>
                <w:sz w:val="22"/>
                <w:szCs w:val="22"/>
              </w:rPr>
            </w:pPr>
            <w:r w:rsidRPr="004B4F56">
              <w:rPr>
                <w:rFonts w:asciiTheme="minorHAnsi" w:hAnsiTheme="minorHAnsi" w:cstheme="minorHAnsi"/>
                <w:b/>
                <w:bCs/>
                <w:sz w:val="22"/>
                <w:szCs w:val="22"/>
              </w:rPr>
              <w:t xml:space="preserve">• </w:t>
            </w:r>
            <w:r w:rsidRPr="004B4F56">
              <w:rPr>
                <w:rFonts w:asciiTheme="minorHAnsi" w:hAnsiTheme="minorHAnsi" w:cstheme="minorHAnsi"/>
                <w:sz w:val="22"/>
                <w:szCs w:val="22"/>
              </w:rPr>
              <w:t xml:space="preserve">flow of research knowledge and data across the EU based on Article </w:t>
            </w:r>
          </w:p>
          <w:p w14:paraId="77BC08D0" w14:textId="77777777" w:rsidR="00CD7682" w:rsidRDefault="00CD7682" w:rsidP="007037E4">
            <w:pPr>
              <w:pStyle w:val="Default"/>
              <w:rPr>
                <w:rFonts w:asciiTheme="minorHAnsi" w:hAnsiTheme="minorHAnsi" w:cstheme="minorHAnsi"/>
                <w:sz w:val="22"/>
                <w:szCs w:val="22"/>
              </w:rPr>
            </w:pPr>
            <w:r>
              <w:rPr>
                <w:rFonts w:asciiTheme="minorHAnsi" w:hAnsiTheme="minorHAnsi" w:cstheme="minorHAnsi"/>
                <w:sz w:val="22"/>
                <w:szCs w:val="22"/>
              </w:rPr>
              <w:t xml:space="preserve">        </w:t>
            </w:r>
            <w:r w:rsidRPr="004B4F56">
              <w:rPr>
                <w:rFonts w:asciiTheme="minorHAnsi" w:hAnsiTheme="minorHAnsi" w:cstheme="minorHAnsi"/>
                <w:sz w:val="22"/>
                <w:szCs w:val="22"/>
              </w:rPr>
              <w:t xml:space="preserve">179 TFEU and academic freedom. </w:t>
            </w:r>
          </w:p>
          <w:p w14:paraId="03AB0695" w14:textId="77777777" w:rsidR="00CD7682" w:rsidRPr="00B0212C" w:rsidRDefault="00CD7682" w:rsidP="007037E4">
            <w:pPr>
              <w:pStyle w:val="Default"/>
            </w:pPr>
          </w:p>
          <w:p w14:paraId="53282EB6" w14:textId="77777777" w:rsidR="00CD7682" w:rsidRPr="004B4F56" w:rsidRDefault="00CD7682" w:rsidP="007037E4">
            <w:pPr>
              <w:pStyle w:val="Pa19"/>
              <w:spacing w:after="220"/>
              <w:jc w:val="both"/>
              <w:rPr>
                <w:rFonts w:asciiTheme="minorHAnsi" w:hAnsiTheme="minorHAnsi" w:cstheme="minorHAnsi"/>
                <w:sz w:val="22"/>
                <w:szCs w:val="22"/>
              </w:rPr>
            </w:pPr>
            <w:r w:rsidRPr="004B4F56">
              <w:rPr>
                <w:rFonts w:asciiTheme="minorHAnsi" w:hAnsiTheme="minorHAnsi" w:cstheme="minorHAnsi"/>
                <w:sz w:val="22"/>
                <w:szCs w:val="22"/>
              </w:rPr>
              <w:t xml:space="preserve">However, barriers and challenges to these objectives exist in the EU legislative and regulatory framework. To address this situation, the Commission will </w:t>
            </w:r>
            <w:r w:rsidRPr="00372426">
              <w:rPr>
                <w:rFonts w:asciiTheme="minorHAnsi" w:hAnsiTheme="minorHAnsi" w:cstheme="minorHAnsi"/>
                <w:b/>
                <w:sz w:val="22"/>
                <w:szCs w:val="22"/>
              </w:rPr>
              <w:t>analyse EU copyright and data legislation to identify existing and possible additional barriers and challenges, and possible measures to address them</w:t>
            </w:r>
            <w:r w:rsidRPr="004B4F56">
              <w:rPr>
                <w:rFonts w:asciiTheme="minorHAnsi" w:hAnsiTheme="minorHAnsi" w:cstheme="minorHAnsi"/>
                <w:sz w:val="22"/>
                <w:szCs w:val="22"/>
              </w:rPr>
              <w:t>. The results of the analysis will be discussed with MS/AC and relevant stakeholders.</w:t>
            </w:r>
          </w:p>
          <w:p w14:paraId="4794D8E1" w14:textId="77777777" w:rsidR="00CD7682" w:rsidRPr="004B4F56" w:rsidRDefault="00CD7682" w:rsidP="007037E4">
            <w:pPr>
              <w:pStyle w:val="Pa19"/>
              <w:spacing w:after="220"/>
              <w:jc w:val="both"/>
              <w:rPr>
                <w:rFonts w:asciiTheme="minorHAnsi" w:hAnsiTheme="minorHAnsi"/>
                <w:sz w:val="22"/>
                <w:szCs w:val="22"/>
              </w:rPr>
            </w:pPr>
            <w:r w:rsidRPr="039846B7">
              <w:rPr>
                <w:rFonts w:asciiTheme="minorHAnsi" w:hAnsiTheme="minorHAnsi"/>
                <w:b/>
                <w:bCs/>
                <w:sz w:val="22"/>
                <w:szCs w:val="22"/>
              </w:rPr>
              <w:t>With regard to copyright</w:t>
            </w:r>
            <w:r w:rsidRPr="039846B7">
              <w:rPr>
                <w:rFonts w:asciiTheme="minorHAnsi" w:hAnsiTheme="minorHAnsi"/>
                <w:sz w:val="22"/>
                <w:szCs w:val="22"/>
              </w:rPr>
              <w:t xml:space="preserve">, the analysis will examine whether the relevant EU Copyright legislation (i.e. Information Society Directive, Copyright Directive) fosters and/or deters access and reuse of scientific publications and will examine some of the legal barriers encountered by researchers and institutions to provide open access to them (e.g. due to copyright and licensing conditions in publishing agreements). The analysis will also look at specific initiatives to enable open access to scientific publications, including: amendments introduced by several MS into their national copyright legislation enacting a secondary publication right for publicly-funded scientific publications (i.e. </w:t>
            </w:r>
            <w:r w:rsidRPr="039846B7">
              <w:rPr>
                <w:rFonts w:asciiTheme="minorHAnsi" w:hAnsiTheme="minorHAnsi"/>
                <w:sz w:val="22"/>
                <w:szCs w:val="22"/>
                <w:lang w:val="en-US"/>
              </w:rPr>
              <w:t xml:space="preserve">BE, NL, AT, FR, DE) </w:t>
            </w:r>
            <w:r w:rsidRPr="039846B7">
              <w:rPr>
                <w:rFonts w:asciiTheme="minorHAnsi" w:hAnsiTheme="minorHAnsi"/>
                <w:sz w:val="22"/>
                <w:szCs w:val="22"/>
              </w:rPr>
              <w:t xml:space="preserve">and non-legislative initiatives such as those developed by research funders (e.g. cOAlition S Rights Retention Strategy) and research institutions (e.g. Harvard model)). Beyond scientific publications, the analysis will also explore whether the EU legislation on copyright, related rights and sui generis database rights (i.e. Copyright Directive, Database Directive) fosters and/or deters access to (including open access) and reuse of data for scientific purposes. It will also examine relevant copyright and licensing initiatives that seek to foster access to and reuse of publicly funded research data. </w:t>
            </w:r>
          </w:p>
          <w:p w14:paraId="345104A2" w14:textId="77777777" w:rsidR="00CD7682" w:rsidRPr="004B4F56" w:rsidRDefault="00CD7682" w:rsidP="007037E4">
            <w:pPr>
              <w:pStyle w:val="Pa19"/>
              <w:spacing w:after="220"/>
              <w:jc w:val="both"/>
              <w:rPr>
                <w:rFonts w:asciiTheme="minorHAnsi" w:hAnsiTheme="minorHAnsi"/>
                <w:sz w:val="22"/>
                <w:szCs w:val="22"/>
              </w:rPr>
            </w:pPr>
            <w:r w:rsidRPr="039846B7">
              <w:rPr>
                <w:rFonts w:asciiTheme="minorHAnsi" w:hAnsiTheme="minorHAnsi"/>
                <w:b/>
                <w:bCs/>
                <w:sz w:val="22"/>
                <w:szCs w:val="22"/>
              </w:rPr>
              <w:t>With regard to data legislation</w:t>
            </w:r>
            <w:r w:rsidRPr="039846B7">
              <w:rPr>
                <w:rFonts w:asciiTheme="minorHAnsi" w:hAnsiTheme="minorHAnsi"/>
                <w:sz w:val="22"/>
                <w:szCs w:val="22"/>
              </w:rPr>
              <w:t xml:space="preserve">, the analysis will explore how specific existing legal instruments (i.e. Open Data Directive) and proposed legislation (i.e. Data Governance Act, Data Act) (may) impact research and research stakeholders´ operations (e.g. access to data, research data sharing and reuse, impact on research performing organisations such as </w:t>
            </w:r>
            <w:r w:rsidRPr="039846B7">
              <w:rPr>
                <w:rFonts w:asciiTheme="minorHAnsi" w:hAnsiTheme="minorHAnsi"/>
                <w:sz w:val="22"/>
                <w:szCs w:val="22"/>
              </w:rPr>
              <w:lastRenderedPageBreak/>
              <w:t>universities, research funding organisations, and research infrastructures/services). Specific digital legislation (i.e. Digital Services Act, Digital Markets Act) will also be analysed.</w:t>
            </w:r>
          </w:p>
          <w:p w14:paraId="232B8CFA" w14:textId="77777777" w:rsidR="00CD7682" w:rsidRPr="004B4F56" w:rsidRDefault="00CD7682" w:rsidP="007037E4">
            <w:pPr>
              <w:pStyle w:val="Pa19"/>
              <w:spacing w:after="220"/>
              <w:jc w:val="both"/>
              <w:rPr>
                <w:rFonts w:asciiTheme="minorHAnsi" w:hAnsiTheme="minorHAnsi" w:cstheme="minorHAnsi"/>
                <w:sz w:val="22"/>
                <w:szCs w:val="22"/>
              </w:rPr>
            </w:pPr>
            <w:r w:rsidRPr="004B4F56">
              <w:rPr>
                <w:rFonts w:asciiTheme="minorHAnsi" w:hAnsiTheme="minorHAnsi" w:cstheme="minorHAnsi"/>
                <w:sz w:val="22"/>
                <w:szCs w:val="22"/>
              </w:rPr>
              <w:t>On the basis of the copyright</w:t>
            </w:r>
            <w:r>
              <w:rPr>
                <w:rFonts w:asciiTheme="minorHAnsi" w:hAnsiTheme="minorHAnsi" w:cstheme="minorHAnsi"/>
                <w:sz w:val="22"/>
                <w:szCs w:val="22"/>
              </w:rPr>
              <w:t xml:space="preserve"> and </w:t>
            </w:r>
            <w:r w:rsidRPr="004B4F56">
              <w:rPr>
                <w:rFonts w:asciiTheme="minorHAnsi" w:hAnsiTheme="minorHAnsi" w:cstheme="minorHAnsi"/>
                <w:sz w:val="22"/>
                <w:szCs w:val="22"/>
              </w:rPr>
              <w:t>data legislation analysis, the action will explore possible legislative and non-legislative measures to ensure a framework fit for research.</w:t>
            </w:r>
          </w:p>
          <w:p w14:paraId="58CC094B" w14:textId="77777777" w:rsidR="00CD7682" w:rsidRDefault="00CD7682" w:rsidP="007037E4">
            <w:pPr>
              <w:pStyle w:val="Default"/>
              <w:rPr>
                <w:rFonts w:asciiTheme="minorHAnsi" w:hAnsiTheme="minorHAnsi" w:cstheme="minorHAnsi"/>
                <w:sz w:val="22"/>
              </w:rPr>
            </w:pPr>
            <w:r w:rsidRPr="004B4F56">
              <w:rPr>
                <w:rFonts w:asciiTheme="minorHAnsi" w:hAnsiTheme="minorHAnsi" w:cstheme="minorHAnsi"/>
                <w:sz w:val="22"/>
              </w:rPr>
              <w:t>This action will interact with ongoing actions such as the monitoring and guidance on the transposition of existing Directives (e.g. Copyright Directive; Open Data Directive)</w:t>
            </w:r>
            <w:r>
              <w:rPr>
                <w:rFonts w:asciiTheme="minorHAnsi" w:hAnsiTheme="minorHAnsi" w:cstheme="minorHAnsi"/>
                <w:sz w:val="22"/>
              </w:rPr>
              <w:t>.</w:t>
            </w:r>
          </w:p>
          <w:p w14:paraId="268D5E1C" w14:textId="77777777" w:rsidR="00CD7682" w:rsidRDefault="00CD7682" w:rsidP="007037E4">
            <w:pPr>
              <w:pStyle w:val="Default"/>
              <w:rPr>
                <w:rFonts w:asciiTheme="minorHAnsi" w:hAnsiTheme="minorHAnsi" w:cstheme="minorHAnsi"/>
                <w:sz w:val="22"/>
              </w:rPr>
            </w:pPr>
          </w:p>
          <w:p w14:paraId="1860262D" w14:textId="77777777" w:rsidR="00CD7682" w:rsidRPr="00A32A70" w:rsidRDefault="00CD7682" w:rsidP="007037E4">
            <w:pPr>
              <w:pStyle w:val="Default"/>
              <w:rPr>
                <w:rFonts w:asciiTheme="minorHAnsi" w:hAnsiTheme="minorHAnsi" w:cstheme="minorHAnsi"/>
                <w:sz w:val="22"/>
              </w:rPr>
            </w:pPr>
            <w:r w:rsidRPr="00A32A70">
              <w:rPr>
                <w:rFonts w:asciiTheme="minorHAnsi" w:hAnsiTheme="minorHAnsi" w:cstheme="minorHAnsi"/>
                <w:sz w:val="22"/>
              </w:rPr>
              <w:t xml:space="preserve">This action </w:t>
            </w:r>
            <w:r>
              <w:rPr>
                <w:rFonts w:asciiTheme="minorHAnsi" w:hAnsiTheme="minorHAnsi" w:cstheme="minorHAnsi"/>
                <w:sz w:val="22"/>
              </w:rPr>
              <w:t xml:space="preserve">is </w:t>
            </w:r>
            <w:r w:rsidRPr="00A32A70">
              <w:rPr>
                <w:rFonts w:asciiTheme="minorHAnsi" w:hAnsiTheme="minorHAnsi" w:cstheme="minorHAnsi"/>
                <w:sz w:val="22"/>
              </w:rPr>
              <w:t xml:space="preserve">not </w:t>
            </w:r>
            <w:r>
              <w:rPr>
                <w:rFonts w:asciiTheme="minorHAnsi" w:hAnsiTheme="minorHAnsi" w:cstheme="minorHAnsi"/>
                <w:sz w:val="22"/>
              </w:rPr>
              <w:t xml:space="preserve">intended to specifically </w:t>
            </w:r>
            <w:r w:rsidRPr="00A32A70">
              <w:rPr>
                <w:rFonts w:asciiTheme="minorHAnsi" w:hAnsiTheme="minorHAnsi" w:cstheme="minorHAnsi"/>
                <w:sz w:val="22"/>
              </w:rPr>
              <w:t>cover the General Data Protection Regulation or more sectoral legislation such as the upcoming proposal for a European Health Data Space Regulation or the proposed Artificial Intelligence Act.</w:t>
            </w:r>
          </w:p>
          <w:p w14:paraId="3BA54332" w14:textId="77777777" w:rsidR="00CD7682" w:rsidRPr="00A32A70" w:rsidRDefault="00CD7682" w:rsidP="007037E4">
            <w:pPr>
              <w:pStyle w:val="Default"/>
              <w:rPr>
                <w:rFonts w:asciiTheme="minorHAnsi" w:hAnsiTheme="minorHAnsi" w:cstheme="minorHAnsi"/>
                <w:sz w:val="22"/>
              </w:rPr>
            </w:pPr>
          </w:p>
          <w:p w14:paraId="4E0FAD81" w14:textId="77777777" w:rsidR="00CD7682" w:rsidRPr="004B4F56" w:rsidRDefault="00CD7682" w:rsidP="007037E4">
            <w:pPr>
              <w:pStyle w:val="Default"/>
              <w:rPr>
                <w:rFonts w:asciiTheme="minorHAnsi" w:hAnsiTheme="minorHAnsi" w:cstheme="minorHAnsi"/>
                <w:sz w:val="22"/>
              </w:rPr>
            </w:pPr>
          </w:p>
          <w:p w14:paraId="4A800D9F" w14:textId="77777777" w:rsidR="00CD7682" w:rsidRPr="00372426" w:rsidRDefault="00CD7682" w:rsidP="007037E4">
            <w:pPr>
              <w:pStyle w:val="Default"/>
              <w:rPr>
                <w:rFonts w:asciiTheme="minorHAnsi" w:hAnsiTheme="minorHAnsi" w:cstheme="minorHAnsi"/>
                <w:b/>
                <w:color w:val="auto"/>
                <w:sz w:val="22"/>
                <w:szCs w:val="22"/>
              </w:rPr>
            </w:pPr>
            <w:r w:rsidRPr="00372426">
              <w:rPr>
                <w:rFonts w:asciiTheme="minorHAnsi" w:hAnsiTheme="minorHAnsi" w:cstheme="minorHAnsi"/>
                <w:b/>
                <w:color w:val="auto"/>
                <w:sz w:val="22"/>
                <w:szCs w:val="22"/>
              </w:rPr>
              <w:t>Outcomes:</w:t>
            </w:r>
          </w:p>
          <w:p w14:paraId="2D976BD9" w14:textId="77777777" w:rsidR="00CD7682" w:rsidRPr="00527DB5" w:rsidRDefault="00CD7682" w:rsidP="00CD7682">
            <w:pPr>
              <w:pStyle w:val="Pa26"/>
              <w:numPr>
                <w:ilvl w:val="0"/>
                <w:numId w:val="11"/>
              </w:numPr>
              <w:ind w:left="357" w:hanging="357"/>
              <w:jc w:val="both"/>
              <w:rPr>
                <w:rFonts w:asciiTheme="minorHAnsi" w:hAnsiTheme="minorHAnsi" w:cstheme="minorHAnsi"/>
                <w:sz w:val="22"/>
                <w:szCs w:val="22"/>
              </w:rPr>
            </w:pPr>
            <w:r w:rsidRPr="006D569C">
              <w:rPr>
                <w:rFonts w:asciiTheme="minorHAnsi" w:hAnsiTheme="minorHAnsi" w:cstheme="minorHAnsi"/>
                <w:b/>
                <w:sz w:val="22"/>
                <w:szCs w:val="22"/>
              </w:rPr>
              <w:t>Identify barriers and challenges to access and reuse</w:t>
            </w:r>
            <w:r w:rsidRPr="004B4F56">
              <w:rPr>
                <w:rFonts w:asciiTheme="minorHAnsi" w:hAnsiTheme="minorHAnsi" w:cstheme="minorHAnsi"/>
                <w:sz w:val="22"/>
                <w:szCs w:val="22"/>
              </w:rPr>
              <w:t xml:space="preserve"> of</w:t>
            </w:r>
            <w:r>
              <w:rPr>
                <w:rFonts w:asciiTheme="minorHAnsi" w:hAnsiTheme="minorHAnsi" w:cstheme="minorHAnsi"/>
                <w:sz w:val="22"/>
                <w:szCs w:val="22"/>
              </w:rPr>
              <w:t>: i)</w:t>
            </w:r>
            <w:r w:rsidRPr="004B4F56">
              <w:rPr>
                <w:rFonts w:asciiTheme="minorHAnsi" w:hAnsiTheme="minorHAnsi" w:cstheme="minorHAnsi"/>
                <w:sz w:val="22"/>
                <w:szCs w:val="22"/>
              </w:rPr>
              <w:t xml:space="preserve"> publicly funded R&amp;I results</w:t>
            </w:r>
            <w:r>
              <w:rPr>
                <w:rFonts w:asciiTheme="minorHAnsi" w:hAnsiTheme="minorHAnsi" w:cstheme="minorHAnsi"/>
                <w:sz w:val="22"/>
                <w:szCs w:val="22"/>
              </w:rPr>
              <w:t>; ii)</w:t>
            </w:r>
            <w:r w:rsidRPr="004B4F56">
              <w:rPr>
                <w:rFonts w:asciiTheme="minorHAnsi" w:hAnsiTheme="minorHAnsi" w:cstheme="minorHAnsi"/>
                <w:sz w:val="22"/>
                <w:szCs w:val="22"/>
              </w:rPr>
              <w:t xml:space="preserve"> publications and data for scientific purposes, </w:t>
            </w:r>
            <w:r w:rsidRPr="006D569C">
              <w:rPr>
                <w:rFonts w:asciiTheme="minorHAnsi" w:hAnsiTheme="minorHAnsi" w:cstheme="minorHAnsi"/>
                <w:b/>
                <w:sz w:val="22"/>
                <w:szCs w:val="22"/>
              </w:rPr>
              <w:t>and identify potential impacts on research</w:t>
            </w:r>
            <w:r w:rsidRPr="00527DB5">
              <w:rPr>
                <w:rFonts w:asciiTheme="minorHAnsi" w:hAnsiTheme="minorHAnsi" w:cstheme="minorHAnsi"/>
                <w:sz w:val="22"/>
                <w:szCs w:val="22"/>
              </w:rPr>
              <w:t xml:space="preserve">, through an analysis of relevant provisions under EU copyright and data legislation and related regulatory frameworks, and of relevant institutional and national initiatives </w:t>
            </w:r>
          </w:p>
          <w:p w14:paraId="25112A91" w14:textId="77777777" w:rsidR="00CD7682" w:rsidRPr="004B4F56" w:rsidRDefault="00CD7682" w:rsidP="00CD7682">
            <w:pPr>
              <w:pStyle w:val="Pa26"/>
              <w:numPr>
                <w:ilvl w:val="0"/>
                <w:numId w:val="11"/>
              </w:numPr>
              <w:spacing w:after="100"/>
              <w:ind w:left="360"/>
              <w:jc w:val="both"/>
              <w:rPr>
                <w:rFonts w:asciiTheme="minorHAnsi" w:hAnsiTheme="minorHAnsi" w:cstheme="minorHAnsi"/>
                <w:sz w:val="22"/>
                <w:szCs w:val="22"/>
              </w:rPr>
            </w:pPr>
            <w:r w:rsidRPr="006D569C">
              <w:rPr>
                <w:rFonts w:asciiTheme="minorHAnsi" w:hAnsiTheme="minorHAnsi" w:cstheme="minorHAnsi"/>
                <w:b/>
                <w:sz w:val="22"/>
                <w:szCs w:val="22"/>
              </w:rPr>
              <w:t>Propose legislative and non-legislative measures</w:t>
            </w:r>
            <w:r w:rsidRPr="004B4F56">
              <w:rPr>
                <w:rFonts w:asciiTheme="minorHAnsi" w:hAnsiTheme="minorHAnsi" w:cstheme="minorHAnsi"/>
                <w:sz w:val="22"/>
                <w:szCs w:val="22"/>
              </w:rPr>
              <w:t xml:space="preserve"> to improve the current EU copyright</w:t>
            </w:r>
            <w:r>
              <w:rPr>
                <w:rFonts w:asciiTheme="minorHAnsi" w:hAnsiTheme="minorHAnsi" w:cstheme="minorHAnsi"/>
                <w:sz w:val="22"/>
                <w:szCs w:val="22"/>
              </w:rPr>
              <w:t xml:space="preserve"> and data </w:t>
            </w:r>
            <w:r w:rsidRPr="004B4F56">
              <w:rPr>
                <w:rFonts w:asciiTheme="minorHAnsi" w:hAnsiTheme="minorHAnsi" w:cstheme="minorHAnsi"/>
                <w:sz w:val="22"/>
                <w:szCs w:val="22"/>
              </w:rPr>
              <w:t>legislative and regulatory frameworks</w:t>
            </w:r>
            <w:r>
              <w:rPr>
                <w:rFonts w:asciiTheme="minorHAnsi" w:hAnsiTheme="minorHAnsi" w:cstheme="minorHAnsi"/>
                <w:sz w:val="22"/>
                <w:szCs w:val="22"/>
              </w:rPr>
              <w:t>.</w:t>
            </w:r>
          </w:p>
        </w:tc>
      </w:tr>
      <w:tr w:rsidR="00CD7682" w:rsidRPr="004B4F56" w14:paraId="50A7B819" w14:textId="77777777" w:rsidTr="007037E4">
        <w:tc>
          <w:tcPr>
            <w:tcW w:w="2750" w:type="dxa"/>
          </w:tcPr>
          <w:p w14:paraId="32167ACE" w14:textId="77777777" w:rsidR="00CD7682" w:rsidRPr="004B4F56" w:rsidRDefault="00CD7682" w:rsidP="00CD7682">
            <w:pPr>
              <w:pStyle w:val="ListParagraph"/>
              <w:numPr>
                <w:ilvl w:val="0"/>
                <w:numId w:val="10"/>
              </w:numPr>
              <w:spacing w:before="120" w:after="120"/>
              <w:rPr>
                <w:rFonts w:cstheme="minorHAnsi"/>
                <w:b/>
              </w:rPr>
            </w:pPr>
            <w:r w:rsidRPr="004B4F56">
              <w:rPr>
                <w:rFonts w:cstheme="minorHAnsi"/>
                <w:b/>
              </w:rPr>
              <w:lastRenderedPageBreak/>
              <w:t>Actors</w:t>
            </w:r>
          </w:p>
        </w:tc>
        <w:tc>
          <w:tcPr>
            <w:tcW w:w="6856" w:type="dxa"/>
          </w:tcPr>
          <w:p w14:paraId="2371EC42" w14:textId="77777777" w:rsidR="00CD7682" w:rsidRPr="004B4F56" w:rsidRDefault="00CD7682" w:rsidP="007037E4">
            <w:pPr>
              <w:spacing w:before="120" w:after="120"/>
              <w:rPr>
                <w:rFonts w:cstheme="minorHAnsi"/>
              </w:rPr>
            </w:pPr>
            <w:r w:rsidRPr="004B4F56">
              <w:rPr>
                <w:rFonts w:cstheme="minorHAnsi"/>
              </w:rPr>
              <w:t xml:space="preserve">The results of the analysis by the Commission and the possible way forward will be discussed with MS/AC and relevant stakeholder organisations during </w:t>
            </w:r>
            <w:r w:rsidRPr="00372426">
              <w:rPr>
                <w:rFonts w:cstheme="minorHAnsi"/>
                <w:b/>
              </w:rPr>
              <w:t>two online workshops in June 2022</w:t>
            </w:r>
            <w:r w:rsidRPr="004B4F56">
              <w:rPr>
                <w:rFonts w:cstheme="minorHAnsi"/>
              </w:rPr>
              <w:t>.</w:t>
            </w:r>
          </w:p>
          <w:p w14:paraId="64815506" w14:textId="77777777" w:rsidR="00CD7682" w:rsidRPr="004B4F56" w:rsidRDefault="00CD7682" w:rsidP="007037E4">
            <w:pPr>
              <w:spacing w:before="120" w:after="120"/>
              <w:rPr>
                <w:rFonts w:cstheme="minorHAnsi"/>
              </w:rPr>
            </w:pPr>
            <w:r w:rsidRPr="004B4F56">
              <w:rPr>
                <w:rFonts w:cstheme="minorHAnsi"/>
              </w:rPr>
              <w:t xml:space="preserve">The </w:t>
            </w:r>
            <w:r w:rsidRPr="00372426">
              <w:rPr>
                <w:rFonts w:cstheme="minorHAnsi"/>
                <w:b/>
              </w:rPr>
              <w:t>proposed legislative and non-legislative measures</w:t>
            </w:r>
            <w:r w:rsidRPr="004B4F56">
              <w:rPr>
                <w:rFonts w:cstheme="minorHAnsi"/>
              </w:rPr>
              <w:t xml:space="preserve"> to improve the current EU copyright and data legislative and regulatory framework are expected to be developed and implemented by the Commission, the MS/AC and research performing/funding organisations.</w:t>
            </w:r>
          </w:p>
        </w:tc>
      </w:tr>
      <w:tr w:rsidR="00CD7682" w:rsidRPr="004B4F56" w14:paraId="38CE4044" w14:textId="77777777" w:rsidTr="007037E4">
        <w:tc>
          <w:tcPr>
            <w:tcW w:w="2750" w:type="dxa"/>
          </w:tcPr>
          <w:p w14:paraId="4D4E66A8" w14:textId="77777777" w:rsidR="00CD7682" w:rsidRPr="004B4F56" w:rsidRDefault="00CD7682" w:rsidP="00CD7682">
            <w:pPr>
              <w:pStyle w:val="ListParagraph"/>
              <w:numPr>
                <w:ilvl w:val="0"/>
                <w:numId w:val="10"/>
              </w:numPr>
              <w:spacing w:before="120" w:after="120"/>
              <w:rPr>
                <w:rFonts w:cstheme="minorHAnsi"/>
                <w:b/>
              </w:rPr>
            </w:pPr>
            <w:r w:rsidRPr="004B4F56">
              <w:rPr>
                <w:rFonts w:cstheme="minorHAnsi"/>
                <w:b/>
              </w:rPr>
              <w:t>Timing and milestones</w:t>
            </w:r>
          </w:p>
        </w:tc>
        <w:tc>
          <w:tcPr>
            <w:tcW w:w="6856" w:type="dxa"/>
          </w:tcPr>
          <w:p w14:paraId="53C5111F" w14:textId="77777777" w:rsidR="00CD7682" w:rsidRPr="004B4F56" w:rsidRDefault="00CD7682" w:rsidP="007037E4">
            <w:pPr>
              <w:spacing w:before="120" w:after="120"/>
              <w:rPr>
                <w:rFonts w:cstheme="minorHAnsi"/>
              </w:rPr>
            </w:pPr>
            <w:r w:rsidRPr="00372426">
              <w:rPr>
                <w:rFonts w:cstheme="minorHAnsi"/>
                <w:b/>
              </w:rPr>
              <w:t>Independent experts will support the analysis and deliver reports on</w:t>
            </w:r>
            <w:r w:rsidRPr="004B4F56">
              <w:rPr>
                <w:rFonts w:cstheme="minorHAnsi"/>
              </w:rPr>
              <w:t>:</w:t>
            </w:r>
          </w:p>
          <w:p w14:paraId="4A2EC726" w14:textId="77777777" w:rsidR="00CD7682" w:rsidRPr="004B4F56" w:rsidRDefault="00CD7682" w:rsidP="00CD7682">
            <w:pPr>
              <w:pStyle w:val="ListParagraph"/>
              <w:numPr>
                <w:ilvl w:val="0"/>
                <w:numId w:val="12"/>
              </w:numPr>
              <w:spacing w:before="120" w:after="120"/>
              <w:rPr>
                <w:rFonts w:cstheme="minorHAnsi"/>
              </w:rPr>
            </w:pPr>
            <w:r w:rsidRPr="004B4F56">
              <w:rPr>
                <w:rFonts w:cstheme="minorHAnsi"/>
              </w:rPr>
              <w:t>copyright and related rights and access and reuse of scientific publications</w:t>
            </w:r>
          </w:p>
          <w:p w14:paraId="7F9AE46D" w14:textId="77777777" w:rsidR="00CD7682" w:rsidRPr="004B4F56" w:rsidRDefault="00CD7682" w:rsidP="00CD7682">
            <w:pPr>
              <w:pStyle w:val="ListParagraph"/>
              <w:numPr>
                <w:ilvl w:val="0"/>
                <w:numId w:val="12"/>
              </w:numPr>
              <w:spacing w:before="120" w:after="120"/>
              <w:rPr>
                <w:rFonts w:cstheme="minorHAnsi"/>
              </w:rPr>
            </w:pPr>
            <w:r w:rsidRPr="004B4F56">
              <w:rPr>
                <w:rFonts w:cstheme="minorHAnsi"/>
              </w:rPr>
              <w:t>copyright and related rights and access and reuse of data</w:t>
            </w:r>
          </w:p>
          <w:p w14:paraId="743A31D0" w14:textId="77777777" w:rsidR="00CD7682" w:rsidRPr="004B4F56" w:rsidRDefault="00CD7682" w:rsidP="00CD7682">
            <w:pPr>
              <w:pStyle w:val="ListParagraph"/>
              <w:numPr>
                <w:ilvl w:val="0"/>
                <w:numId w:val="12"/>
              </w:numPr>
              <w:spacing w:before="120" w:after="120"/>
              <w:rPr>
                <w:rFonts w:cstheme="minorHAnsi"/>
              </w:rPr>
            </w:pPr>
            <w:r w:rsidRPr="004B4F56">
              <w:rPr>
                <w:rFonts w:cstheme="minorHAnsi"/>
              </w:rPr>
              <w:t>the Open Data Directive, the Data Governance Act and the Data Act</w:t>
            </w:r>
          </w:p>
          <w:p w14:paraId="77960174" w14:textId="77777777" w:rsidR="00CD7682" w:rsidRPr="004B4F56" w:rsidRDefault="00CD7682" w:rsidP="00CD7682">
            <w:pPr>
              <w:pStyle w:val="ListParagraph"/>
              <w:numPr>
                <w:ilvl w:val="0"/>
                <w:numId w:val="12"/>
              </w:numPr>
              <w:spacing w:before="120" w:after="120"/>
              <w:rPr>
                <w:rFonts w:cstheme="minorHAnsi"/>
              </w:rPr>
            </w:pPr>
            <w:r w:rsidRPr="004B4F56">
              <w:rPr>
                <w:rFonts w:cstheme="minorHAnsi"/>
              </w:rPr>
              <w:t>the Digital Services Act and the Digital Markets Act</w:t>
            </w:r>
          </w:p>
          <w:p w14:paraId="50C2B9F3" w14:textId="77777777" w:rsidR="00CD7682" w:rsidRDefault="00CD7682" w:rsidP="007037E4">
            <w:pPr>
              <w:spacing w:before="120" w:after="120"/>
              <w:rPr>
                <w:rFonts w:cstheme="minorHAnsi"/>
                <w:lang w:val="en-US"/>
              </w:rPr>
            </w:pPr>
            <w:r>
              <w:rPr>
                <w:rFonts w:cstheme="minorHAnsi"/>
              </w:rPr>
              <w:t xml:space="preserve">On the basis of these reports, </w:t>
            </w:r>
            <w:r w:rsidRPr="00372426">
              <w:rPr>
                <w:rFonts w:cstheme="minorHAnsi"/>
                <w:b/>
              </w:rPr>
              <w:t>two online workshops</w:t>
            </w:r>
            <w:r w:rsidRPr="004B4F56">
              <w:rPr>
                <w:rFonts w:cstheme="minorHAnsi"/>
              </w:rPr>
              <w:t xml:space="preserve"> with the </w:t>
            </w:r>
            <w:r>
              <w:rPr>
                <w:rFonts w:cstheme="minorHAnsi"/>
              </w:rPr>
              <w:t>ERA Forum members</w:t>
            </w:r>
            <w:r w:rsidRPr="004B4F56">
              <w:rPr>
                <w:rFonts w:cstheme="minorHAnsi"/>
              </w:rPr>
              <w:t xml:space="preserve"> and relevant</w:t>
            </w:r>
            <w:r>
              <w:rPr>
                <w:rFonts w:cstheme="minorHAnsi"/>
              </w:rPr>
              <w:t xml:space="preserve"> R&amp;I</w:t>
            </w:r>
            <w:r w:rsidRPr="004B4F56">
              <w:rPr>
                <w:rFonts w:cstheme="minorHAnsi"/>
              </w:rPr>
              <w:t xml:space="preserve"> stakeholder organisations </w:t>
            </w:r>
            <w:r>
              <w:rPr>
                <w:rFonts w:cstheme="minorHAnsi"/>
              </w:rPr>
              <w:t xml:space="preserve">will be held in June </w:t>
            </w:r>
            <w:r w:rsidRPr="004B4F56">
              <w:rPr>
                <w:rFonts w:cstheme="minorHAnsi"/>
              </w:rPr>
              <w:t xml:space="preserve">to </w:t>
            </w:r>
            <w:r>
              <w:rPr>
                <w:rFonts w:cstheme="minorHAnsi"/>
              </w:rPr>
              <w:t xml:space="preserve">consult on challenges or obstacles to open sharing of scientific information due to legislation related to EU copyright and data legislation. </w:t>
            </w:r>
            <w:r>
              <w:rPr>
                <w:rFonts w:cstheme="minorHAnsi"/>
                <w:lang w:val="en-US"/>
              </w:rPr>
              <w:t xml:space="preserve"> The workshops will focus on:</w:t>
            </w:r>
          </w:p>
          <w:p w14:paraId="59646E07" w14:textId="77777777" w:rsidR="00CD7682" w:rsidRPr="006F35D0" w:rsidRDefault="00CD7682" w:rsidP="00CD7682">
            <w:pPr>
              <w:pStyle w:val="ListParagraph"/>
              <w:numPr>
                <w:ilvl w:val="0"/>
                <w:numId w:val="16"/>
              </w:numPr>
              <w:spacing w:before="120" w:after="120"/>
              <w:rPr>
                <w:rFonts w:cstheme="minorHAnsi"/>
              </w:rPr>
            </w:pPr>
            <w:r w:rsidRPr="006F35D0">
              <w:rPr>
                <w:rFonts w:cstheme="minorHAnsi"/>
              </w:rPr>
              <w:t>1) EU copyright</w:t>
            </w:r>
            <w:r>
              <w:rPr>
                <w:rFonts w:cstheme="minorHAnsi"/>
              </w:rPr>
              <w:t xml:space="preserve"> and related rights</w:t>
            </w:r>
            <w:r w:rsidRPr="006F35D0">
              <w:rPr>
                <w:rFonts w:cstheme="minorHAnsi"/>
              </w:rPr>
              <w:t xml:space="preserve"> legislation and access and reuse of scientific publications and data </w:t>
            </w:r>
          </w:p>
          <w:p w14:paraId="7CDDD8B5" w14:textId="77777777" w:rsidR="00CD7682" w:rsidRPr="006F35D0" w:rsidRDefault="00CD7682" w:rsidP="00CD7682">
            <w:pPr>
              <w:pStyle w:val="ListParagraph"/>
              <w:numPr>
                <w:ilvl w:val="0"/>
                <w:numId w:val="16"/>
              </w:numPr>
              <w:spacing w:before="120" w:after="120"/>
            </w:pPr>
            <w:r w:rsidRPr="0A880C4C">
              <w:lastRenderedPageBreak/>
              <w:t>2) EU data and digital legislation and research</w:t>
            </w:r>
          </w:p>
          <w:p w14:paraId="65CF939C" w14:textId="77777777" w:rsidR="00CD7682" w:rsidRPr="004B4F56" w:rsidRDefault="00CD7682" w:rsidP="007037E4">
            <w:pPr>
              <w:spacing w:before="120" w:after="120"/>
              <w:rPr>
                <w:rFonts w:cstheme="minorHAnsi"/>
              </w:rPr>
            </w:pPr>
          </w:p>
          <w:p w14:paraId="675EAB40" w14:textId="77777777" w:rsidR="00CD7682" w:rsidRPr="004B4F56" w:rsidRDefault="00CD7682" w:rsidP="007037E4">
            <w:pPr>
              <w:spacing w:before="120" w:after="120"/>
              <w:rPr>
                <w:rFonts w:cstheme="minorHAnsi"/>
              </w:rPr>
            </w:pPr>
            <w:r w:rsidRPr="004B4F56">
              <w:rPr>
                <w:rFonts w:cstheme="minorHAnsi"/>
              </w:rPr>
              <w:t>Finalising the identification of barriers and challenges and potential impacts on research, and developing the proposals for possible legislative and non-legislative measures (Autumn 2022).</w:t>
            </w:r>
          </w:p>
          <w:p w14:paraId="35DC9F73" w14:textId="77777777" w:rsidR="00CD7682" w:rsidRDefault="00CD7682" w:rsidP="007037E4">
            <w:pPr>
              <w:spacing w:before="120" w:after="120"/>
              <w:rPr>
                <w:rFonts w:cstheme="minorHAnsi"/>
              </w:rPr>
            </w:pPr>
          </w:p>
          <w:p w14:paraId="6BDDD983" w14:textId="77777777" w:rsidR="00CD7682" w:rsidRPr="000733F3" w:rsidRDefault="00CD7682" w:rsidP="007037E4">
            <w:pPr>
              <w:spacing w:before="120" w:after="120"/>
              <w:rPr>
                <w:rFonts w:cstheme="minorHAnsi"/>
                <w:b/>
              </w:rPr>
            </w:pPr>
            <w:r w:rsidRPr="000733F3">
              <w:rPr>
                <w:rFonts w:cstheme="minorHAnsi"/>
                <w:b/>
                <w:lang w:val="en-US"/>
              </w:rPr>
              <w:t xml:space="preserve">Possible measures could include: </w:t>
            </w:r>
          </w:p>
          <w:p w14:paraId="38EE7585" w14:textId="77777777" w:rsidR="00CD7682" w:rsidRPr="00D25C68" w:rsidRDefault="00CD7682" w:rsidP="00CD7682">
            <w:pPr>
              <w:numPr>
                <w:ilvl w:val="0"/>
                <w:numId w:val="17"/>
              </w:numPr>
              <w:spacing w:before="120" w:after="120"/>
              <w:rPr>
                <w:rFonts w:cstheme="minorHAnsi"/>
              </w:rPr>
            </w:pPr>
            <w:r w:rsidRPr="00D25C68">
              <w:rPr>
                <w:rFonts w:cstheme="minorHAnsi"/>
                <w:lang w:val="en-US"/>
              </w:rPr>
              <w:t>Compiling research-related provisions in a structured way</w:t>
            </w:r>
          </w:p>
          <w:p w14:paraId="2F1F3DC5" w14:textId="77777777" w:rsidR="00CD7682" w:rsidRPr="00D25C68" w:rsidRDefault="00CD7682" w:rsidP="00CD7682">
            <w:pPr>
              <w:numPr>
                <w:ilvl w:val="0"/>
                <w:numId w:val="17"/>
              </w:numPr>
              <w:spacing w:before="120" w:after="120"/>
              <w:rPr>
                <w:rFonts w:cstheme="minorHAnsi"/>
              </w:rPr>
            </w:pPr>
            <w:r w:rsidRPr="00D25C68">
              <w:rPr>
                <w:rFonts w:cstheme="minorHAnsi"/>
                <w:lang w:val="en-US"/>
              </w:rPr>
              <w:t>Guidelines regarding the transposition and/or application of relevant legislative instruments</w:t>
            </w:r>
          </w:p>
          <w:p w14:paraId="5C9168DC" w14:textId="77777777" w:rsidR="00CD7682" w:rsidRPr="00D25C68" w:rsidRDefault="00CD7682" w:rsidP="00CD7682">
            <w:pPr>
              <w:numPr>
                <w:ilvl w:val="0"/>
                <w:numId w:val="17"/>
              </w:numPr>
              <w:spacing w:before="120" w:after="120"/>
              <w:rPr>
                <w:rFonts w:cstheme="minorHAnsi"/>
              </w:rPr>
            </w:pPr>
            <w:r w:rsidRPr="00D25C68">
              <w:rPr>
                <w:rFonts w:cstheme="minorHAnsi"/>
                <w:lang w:val="en-US"/>
              </w:rPr>
              <w:t>Specific legislative initiatives (e.g. making research exceptions in copyright legislation mandatory, EU secondary publication right?)</w:t>
            </w:r>
          </w:p>
          <w:p w14:paraId="5170A5E6" w14:textId="77777777" w:rsidR="00CD7682" w:rsidRPr="00D25C68" w:rsidRDefault="00CD7682" w:rsidP="00CD7682">
            <w:pPr>
              <w:numPr>
                <w:ilvl w:val="0"/>
                <w:numId w:val="17"/>
              </w:numPr>
              <w:spacing w:before="120" w:after="120"/>
              <w:rPr>
                <w:rFonts w:cstheme="minorHAnsi"/>
              </w:rPr>
            </w:pPr>
            <w:r w:rsidRPr="00D25C68">
              <w:rPr>
                <w:rFonts w:cstheme="minorHAnsi"/>
                <w:lang w:val="en-US"/>
              </w:rPr>
              <w:t>Sectoral directive and/or regulation amending existing legislation in the for</w:t>
            </w:r>
            <w:r>
              <w:rPr>
                <w:rFonts w:cstheme="minorHAnsi"/>
                <w:lang w:val="en-US"/>
              </w:rPr>
              <w:t xml:space="preserve">m of  </w:t>
            </w:r>
            <w:r w:rsidRPr="00D25C68">
              <w:rPr>
                <w:rFonts w:cstheme="minorHAnsi"/>
                <w:lang w:val="en-US"/>
              </w:rPr>
              <w:t xml:space="preserve">a “Digital Research/Knowledge Act” </w:t>
            </w:r>
          </w:p>
          <w:p w14:paraId="69994A8F" w14:textId="77777777" w:rsidR="00CD7682" w:rsidRPr="004B4F56" w:rsidRDefault="00CD7682" w:rsidP="007037E4">
            <w:pPr>
              <w:spacing w:before="120" w:after="120"/>
              <w:rPr>
                <w:rFonts w:cstheme="minorHAnsi"/>
              </w:rPr>
            </w:pPr>
          </w:p>
        </w:tc>
      </w:tr>
      <w:tr w:rsidR="00CD7682" w:rsidRPr="004B4F56" w14:paraId="4631154F" w14:textId="77777777" w:rsidTr="007037E4">
        <w:tc>
          <w:tcPr>
            <w:tcW w:w="2750" w:type="dxa"/>
          </w:tcPr>
          <w:p w14:paraId="5B845541" w14:textId="77777777" w:rsidR="00CD7682" w:rsidRPr="004B4F56" w:rsidRDefault="00CD7682" w:rsidP="00CD7682">
            <w:pPr>
              <w:pStyle w:val="ListParagraph"/>
              <w:numPr>
                <w:ilvl w:val="0"/>
                <w:numId w:val="10"/>
              </w:numPr>
              <w:spacing w:before="120" w:after="120"/>
              <w:rPr>
                <w:rFonts w:cstheme="minorHAnsi"/>
                <w:b/>
              </w:rPr>
            </w:pPr>
            <w:r w:rsidRPr="004B4F56">
              <w:rPr>
                <w:rFonts w:cstheme="minorHAnsi"/>
                <w:b/>
              </w:rPr>
              <w:lastRenderedPageBreak/>
              <w:t>Funding</w:t>
            </w:r>
          </w:p>
        </w:tc>
        <w:tc>
          <w:tcPr>
            <w:tcW w:w="6856" w:type="dxa"/>
          </w:tcPr>
          <w:p w14:paraId="7EC795AC" w14:textId="77777777" w:rsidR="00CD7682" w:rsidRPr="004B4F56" w:rsidRDefault="00CD7682" w:rsidP="007037E4">
            <w:pPr>
              <w:spacing w:before="120" w:after="120"/>
              <w:rPr>
                <w:rFonts w:cstheme="minorHAnsi"/>
              </w:rPr>
            </w:pPr>
            <w:r w:rsidRPr="004B4F56">
              <w:rPr>
                <w:rFonts w:cstheme="minorHAnsi"/>
              </w:rPr>
              <w:t>Horizon Europe (in particular the WIDERA part) for training/capacity building</w:t>
            </w:r>
            <w:r>
              <w:rPr>
                <w:rFonts w:cstheme="minorHAnsi"/>
              </w:rPr>
              <w:t xml:space="preserve"> on IP management to support open science and related to potential guidelines or any other non-legislative initiatives that may result from this action.</w:t>
            </w:r>
          </w:p>
          <w:p w14:paraId="49C5D960" w14:textId="77777777" w:rsidR="00CD7682" w:rsidRPr="004B4F56" w:rsidRDefault="00CD7682" w:rsidP="007037E4">
            <w:pPr>
              <w:spacing w:before="120" w:after="120"/>
              <w:rPr>
                <w:rFonts w:cstheme="minorHAnsi"/>
              </w:rPr>
            </w:pPr>
          </w:p>
        </w:tc>
      </w:tr>
      <w:tr w:rsidR="00CD7682" w:rsidRPr="004B4F56" w14:paraId="250CC7D0" w14:textId="77777777" w:rsidTr="007037E4">
        <w:tc>
          <w:tcPr>
            <w:tcW w:w="2750" w:type="dxa"/>
          </w:tcPr>
          <w:p w14:paraId="640B64F1" w14:textId="77777777" w:rsidR="00CD7682" w:rsidRPr="004B4F56" w:rsidRDefault="00CD7682" w:rsidP="00CD7682">
            <w:pPr>
              <w:pStyle w:val="ListParagraph"/>
              <w:numPr>
                <w:ilvl w:val="0"/>
                <w:numId w:val="10"/>
              </w:numPr>
              <w:spacing w:before="120" w:after="120"/>
              <w:rPr>
                <w:rFonts w:cstheme="minorHAnsi"/>
                <w:b/>
              </w:rPr>
            </w:pPr>
            <w:r w:rsidRPr="004B4F56">
              <w:rPr>
                <w:rFonts w:cstheme="minorHAnsi"/>
                <w:b/>
              </w:rPr>
              <w:t>Expected impact</w:t>
            </w:r>
          </w:p>
        </w:tc>
        <w:tc>
          <w:tcPr>
            <w:tcW w:w="6856" w:type="dxa"/>
          </w:tcPr>
          <w:p w14:paraId="242C6B50" w14:textId="77777777" w:rsidR="00CD7682" w:rsidRPr="00926BD8" w:rsidRDefault="00CD7682" w:rsidP="00CD7682">
            <w:pPr>
              <w:pStyle w:val="ListParagraph"/>
              <w:numPr>
                <w:ilvl w:val="0"/>
                <w:numId w:val="18"/>
              </w:numPr>
              <w:spacing w:before="120" w:after="120"/>
              <w:rPr>
                <w:rFonts w:cstheme="minorHAnsi"/>
              </w:rPr>
            </w:pPr>
            <w:r w:rsidRPr="00124BD1">
              <w:rPr>
                <w:rFonts w:cstheme="minorHAnsi"/>
              </w:rPr>
              <w:t>Improved understanding of the impact of the EU copyright</w:t>
            </w:r>
            <w:r>
              <w:rPr>
                <w:rFonts w:cstheme="minorHAnsi"/>
              </w:rPr>
              <w:t xml:space="preserve"> and</w:t>
            </w:r>
            <w:r w:rsidRPr="00124BD1">
              <w:rPr>
                <w:rFonts w:cstheme="minorHAnsi"/>
              </w:rPr>
              <w:t xml:space="preserve"> data legislative and regulatory framework on research and innovation.</w:t>
            </w:r>
          </w:p>
          <w:p w14:paraId="571D95E8" w14:textId="77777777" w:rsidR="00CD7682" w:rsidRPr="004B4F56" w:rsidRDefault="00CD7682" w:rsidP="00CD7682">
            <w:pPr>
              <w:pStyle w:val="ListParagraph"/>
              <w:numPr>
                <w:ilvl w:val="0"/>
                <w:numId w:val="13"/>
              </w:numPr>
              <w:spacing w:before="120" w:after="120"/>
              <w:rPr>
                <w:rFonts w:cstheme="minorHAnsi"/>
              </w:rPr>
            </w:pPr>
            <w:r w:rsidRPr="004B4F56">
              <w:rPr>
                <w:rFonts w:cstheme="minorHAnsi"/>
              </w:rPr>
              <w:t>Improved EU legislative and regulatory framework conditions for research and innovation.</w:t>
            </w:r>
          </w:p>
        </w:tc>
      </w:tr>
      <w:tr w:rsidR="00CD7682" w:rsidRPr="004B4F56" w14:paraId="7DDE86CC" w14:textId="77777777" w:rsidTr="007037E4">
        <w:tc>
          <w:tcPr>
            <w:tcW w:w="2750" w:type="dxa"/>
          </w:tcPr>
          <w:p w14:paraId="765A4AEE" w14:textId="77777777" w:rsidR="00CD7682" w:rsidRPr="004B4F56" w:rsidRDefault="00CD7682" w:rsidP="00CD7682">
            <w:pPr>
              <w:pStyle w:val="ListParagraph"/>
              <w:numPr>
                <w:ilvl w:val="0"/>
                <w:numId w:val="10"/>
              </w:numPr>
              <w:spacing w:before="120" w:after="120"/>
              <w:rPr>
                <w:rFonts w:cstheme="minorHAnsi"/>
                <w:b/>
              </w:rPr>
            </w:pPr>
            <w:r w:rsidRPr="004B4F56">
              <w:rPr>
                <w:rFonts w:cstheme="minorHAnsi"/>
                <w:b/>
              </w:rPr>
              <w:t xml:space="preserve">Monitoring </w:t>
            </w:r>
          </w:p>
        </w:tc>
        <w:tc>
          <w:tcPr>
            <w:tcW w:w="6856" w:type="dxa"/>
          </w:tcPr>
          <w:p w14:paraId="00F97A89" w14:textId="77777777" w:rsidR="00CD7682" w:rsidRPr="004B4F56" w:rsidRDefault="00CD7682" w:rsidP="00CD7682">
            <w:pPr>
              <w:pStyle w:val="ListParagraph"/>
              <w:numPr>
                <w:ilvl w:val="0"/>
                <w:numId w:val="15"/>
              </w:numPr>
              <w:spacing w:before="120" w:after="120"/>
              <w:rPr>
                <w:rFonts w:cstheme="minorHAnsi"/>
              </w:rPr>
            </w:pPr>
            <w:r w:rsidRPr="004B4F56">
              <w:rPr>
                <w:rFonts w:cstheme="minorHAnsi"/>
              </w:rPr>
              <w:t>Monitoring of the uptake of the legislative and non-legislative measures resulting from the action.</w:t>
            </w:r>
          </w:p>
        </w:tc>
      </w:tr>
      <w:tr w:rsidR="00CD7682" w:rsidRPr="004B4F56" w14:paraId="398D5190" w14:textId="77777777" w:rsidTr="007037E4">
        <w:tc>
          <w:tcPr>
            <w:tcW w:w="2750" w:type="dxa"/>
          </w:tcPr>
          <w:p w14:paraId="5CE646AE" w14:textId="77777777" w:rsidR="00CD7682" w:rsidRPr="004B4F56" w:rsidRDefault="00CD7682" w:rsidP="00CD7682">
            <w:pPr>
              <w:pStyle w:val="ListParagraph"/>
              <w:numPr>
                <w:ilvl w:val="0"/>
                <w:numId w:val="10"/>
              </w:numPr>
              <w:spacing w:before="120" w:after="120"/>
              <w:rPr>
                <w:rFonts w:cstheme="minorHAnsi"/>
                <w:b/>
              </w:rPr>
            </w:pPr>
            <w:r w:rsidRPr="004B4F56">
              <w:rPr>
                <w:rFonts w:cstheme="minorHAnsi"/>
                <w:b/>
              </w:rPr>
              <w:t>Communication</w:t>
            </w:r>
          </w:p>
        </w:tc>
        <w:tc>
          <w:tcPr>
            <w:tcW w:w="6856" w:type="dxa"/>
          </w:tcPr>
          <w:p w14:paraId="09326F49" w14:textId="77777777" w:rsidR="00CD7682" w:rsidRPr="004B4F56" w:rsidRDefault="00CD7682" w:rsidP="00CD7682">
            <w:pPr>
              <w:pStyle w:val="ListParagraph"/>
              <w:numPr>
                <w:ilvl w:val="0"/>
                <w:numId w:val="14"/>
              </w:numPr>
              <w:spacing w:before="120" w:after="120"/>
              <w:rPr>
                <w:rFonts w:cstheme="minorHAnsi"/>
              </w:rPr>
            </w:pPr>
            <w:r w:rsidRPr="004B4F56">
              <w:rPr>
                <w:rFonts w:cstheme="minorHAnsi"/>
              </w:rPr>
              <w:t>Publication by the Commission of the results of the analysis.</w:t>
            </w:r>
          </w:p>
          <w:p w14:paraId="6EE3F079" w14:textId="77777777" w:rsidR="00CD7682" w:rsidRPr="004B4F56" w:rsidRDefault="00CD7682" w:rsidP="00CD7682">
            <w:pPr>
              <w:pStyle w:val="ListParagraph"/>
              <w:numPr>
                <w:ilvl w:val="0"/>
                <w:numId w:val="14"/>
              </w:numPr>
              <w:spacing w:before="120" w:after="120"/>
              <w:rPr>
                <w:rFonts w:cstheme="minorHAnsi"/>
              </w:rPr>
            </w:pPr>
            <w:r w:rsidRPr="004B4F56">
              <w:rPr>
                <w:rFonts w:cstheme="minorHAnsi"/>
              </w:rPr>
              <w:t>Dissemination of the legislative and non-legislative measures proposed.</w:t>
            </w:r>
          </w:p>
        </w:tc>
      </w:tr>
      <w:tr w:rsidR="00CD7682" w:rsidRPr="004B4F56" w14:paraId="55CEC6D1" w14:textId="77777777" w:rsidTr="007037E4">
        <w:tc>
          <w:tcPr>
            <w:tcW w:w="2750" w:type="dxa"/>
          </w:tcPr>
          <w:p w14:paraId="7D7EC1AC" w14:textId="77777777" w:rsidR="00CD7682" w:rsidRPr="004B4F56" w:rsidRDefault="00CD7682" w:rsidP="00CD7682">
            <w:pPr>
              <w:pStyle w:val="ListParagraph"/>
              <w:numPr>
                <w:ilvl w:val="0"/>
                <w:numId w:val="10"/>
              </w:numPr>
              <w:spacing w:before="120" w:after="120"/>
              <w:rPr>
                <w:rFonts w:cstheme="minorHAnsi"/>
                <w:b/>
              </w:rPr>
            </w:pPr>
            <w:r w:rsidRPr="004B4F56">
              <w:rPr>
                <w:rFonts w:cstheme="minorHAnsi"/>
                <w:b/>
              </w:rPr>
              <w:t>Additional information</w:t>
            </w:r>
          </w:p>
        </w:tc>
        <w:tc>
          <w:tcPr>
            <w:tcW w:w="6856" w:type="dxa"/>
          </w:tcPr>
          <w:p w14:paraId="02D8E4D1" w14:textId="77777777" w:rsidR="00CD7682" w:rsidRPr="004B4F56" w:rsidRDefault="00CD7682" w:rsidP="007037E4">
            <w:pPr>
              <w:spacing w:before="120" w:after="120"/>
              <w:rPr>
                <w:rFonts w:cstheme="minorHAnsi"/>
              </w:rPr>
            </w:pPr>
            <w:r w:rsidRPr="004B4F56">
              <w:rPr>
                <w:rFonts w:cstheme="minorHAnsi"/>
              </w:rPr>
              <w:t>-</w:t>
            </w:r>
            <w:r>
              <w:rPr>
                <w:rFonts w:cstheme="minorHAnsi"/>
              </w:rPr>
              <w:t>-</w:t>
            </w:r>
          </w:p>
        </w:tc>
      </w:tr>
    </w:tbl>
    <w:p w14:paraId="06E99AA6" w14:textId="77777777" w:rsidR="00CD7682" w:rsidRDefault="00CD7682" w:rsidP="00387B96">
      <w:pPr>
        <w:ind w:left="720"/>
      </w:pPr>
    </w:p>
    <w:p w14:paraId="6A05A809" w14:textId="77777777" w:rsidR="00612C8D" w:rsidRDefault="00612C8D" w:rsidP="00612C8D"/>
    <w:sectPr w:rsidR="00612C8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83E35" w14:textId="77777777" w:rsidR="00301BC8" w:rsidRDefault="00301BC8" w:rsidP="00612C8D">
      <w:pPr>
        <w:spacing w:after="0" w:line="240" w:lineRule="auto"/>
      </w:pPr>
      <w:r>
        <w:separator/>
      </w:r>
    </w:p>
  </w:endnote>
  <w:endnote w:type="continuationSeparator" w:id="0">
    <w:p w14:paraId="0FAB5A30" w14:textId="77777777" w:rsidR="00301BC8" w:rsidRDefault="00301BC8" w:rsidP="0061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A00002BF" w:usb1="5000E0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676975"/>
      <w:docPartObj>
        <w:docPartGallery w:val="Page Numbers (Bottom of Page)"/>
        <w:docPartUnique/>
      </w:docPartObj>
    </w:sdtPr>
    <w:sdtEndPr>
      <w:rPr>
        <w:noProof/>
      </w:rPr>
    </w:sdtEndPr>
    <w:sdtContent>
      <w:p w14:paraId="3D3D22A9" w14:textId="080B11BD" w:rsidR="00612C8D" w:rsidRDefault="00612C8D">
        <w:pPr>
          <w:pStyle w:val="Footer"/>
          <w:jc w:val="center"/>
        </w:pPr>
        <w:r>
          <w:fldChar w:fldCharType="begin"/>
        </w:r>
        <w:r>
          <w:instrText xml:space="preserve"> PAGE   \* MERGEFORMAT </w:instrText>
        </w:r>
        <w:r>
          <w:fldChar w:fldCharType="separate"/>
        </w:r>
        <w:r w:rsidR="00A2737B">
          <w:rPr>
            <w:noProof/>
          </w:rPr>
          <w:t>2</w:t>
        </w:r>
        <w:r>
          <w:rPr>
            <w:noProof/>
          </w:rPr>
          <w:fldChar w:fldCharType="end"/>
        </w:r>
      </w:p>
    </w:sdtContent>
  </w:sdt>
  <w:p w14:paraId="5A39BBE3" w14:textId="77777777" w:rsidR="00612C8D" w:rsidRDefault="00612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36372" w14:textId="77777777" w:rsidR="00301BC8" w:rsidRDefault="00301BC8" w:rsidP="00612C8D">
      <w:pPr>
        <w:spacing w:after="0" w:line="240" w:lineRule="auto"/>
      </w:pPr>
      <w:r>
        <w:separator/>
      </w:r>
    </w:p>
  </w:footnote>
  <w:footnote w:type="continuationSeparator" w:id="0">
    <w:p w14:paraId="6AE461BD" w14:textId="77777777" w:rsidR="00301BC8" w:rsidRDefault="00301BC8" w:rsidP="00612C8D">
      <w:pPr>
        <w:spacing w:after="0" w:line="240" w:lineRule="auto"/>
      </w:pPr>
      <w:r>
        <w:continuationSeparator/>
      </w:r>
    </w:p>
  </w:footnote>
  <w:footnote w:id="1">
    <w:p w14:paraId="1AE2C9E9" w14:textId="29C9A783" w:rsidR="00CD7682" w:rsidRPr="00CD7682" w:rsidRDefault="00CD7682">
      <w:pPr>
        <w:pStyle w:val="FootnoteText"/>
        <w:rPr>
          <w:lang w:val="en-US"/>
        </w:rPr>
      </w:pPr>
      <w:r>
        <w:rPr>
          <w:rStyle w:val="FootnoteReference"/>
        </w:rPr>
        <w:footnoteRef/>
      </w:r>
      <w:r>
        <w:t xml:space="preserve"> Please fill in these boxes.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3246"/>
    <w:multiLevelType w:val="hybridMultilevel"/>
    <w:tmpl w:val="B17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D38F7"/>
    <w:multiLevelType w:val="hybridMultilevel"/>
    <w:tmpl w:val="111E24D6"/>
    <w:lvl w:ilvl="0" w:tplc="9D6804AE">
      <w:start w:val="1"/>
      <w:numFmt w:val="bullet"/>
      <w:lvlText w:val=""/>
      <w:lvlJc w:val="left"/>
      <w:pPr>
        <w:ind w:left="720" w:hanging="360"/>
      </w:pPr>
      <w:rPr>
        <w:rFonts w:ascii="Symbol" w:hAnsi="Symbol" w:hint="default"/>
      </w:rPr>
    </w:lvl>
    <w:lvl w:ilvl="1" w:tplc="E2822C20">
      <w:start w:val="1"/>
      <w:numFmt w:val="bullet"/>
      <w:lvlText w:val=""/>
      <w:lvlJc w:val="left"/>
      <w:pPr>
        <w:ind w:left="1440" w:hanging="360"/>
      </w:pPr>
      <w:rPr>
        <w:rFonts w:ascii="Symbol" w:hAnsi="Symbol" w:hint="default"/>
      </w:rPr>
    </w:lvl>
    <w:lvl w:ilvl="2" w:tplc="0EBC8118">
      <w:start w:val="1"/>
      <w:numFmt w:val="bullet"/>
      <w:lvlText w:val=""/>
      <w:lvlJc w:val="left"/>
      <w:pPr>
        <w:ind w:left="2160" w:hanging="360"/>
      </w:pPr>
      <w:rPr>
        <w:rFonts w:ascii="Wingdings" w:hAnsi="Wingdings" w:hint="default"/>
      </w:rPr>
    </w:lvl>
    <w:lvl w:ilvl="3" w:tplc="192CF5E2">
      <w:start w:val="1"/>
      <w:numFmt w:val="bullet"/>
      <w:lvlText w:val=""/>
      <w:lvlJc w:val="left"/>
      <w:pPr>
        <w:ind w:left="2880" w:hanging="360"/>
      </w:pPr>
      <w:rPr>
        <w:rFonts w:ascii="Symbol" w:hAnsi="Symbol" w:hint="default"/>
      </w:rPr>
    </w:lvl>
    <w:lvl w:ilvl="4" w:tplc="965A7112">
      <w:start w:val="1"/>
      <w:numFmt w:val="bullet"/>
      <w:lvlText w:val="o"/>
      <w:lvlJc w:val="left"/>
      <w:pPr>
        <w:ind w:left="3600" w:hanging="360"/>
      </w:pPr>
      <w:rPr>
        <w:rFonts w:ascii="Courier New" w:hAnsi="Courier New" w:hint="default"/>
      </w:rPr>
    </w:lvl>
    <w:lvl w:ilvl="5" w:tplc="2E4EEEE0">
      <w:start w:val="1"/>
      <w:numFmt w:val="bullet"/>
      <w:lvlText w:val=""/>
      <w:lvlJc w:val="left"/>
      <w:pPr>
        <w:ind w:left="4320" w:hanging="360"/>
      </w:pPr>
      <w:rPr>
        <w:rFonts w:ascii="Wingdings" w:hAnsi="Wingdings" w:hint="default"/>
      </w:rPr>
    </w:lvl>
    <w:lvl w:ilvl="6" w:tplc="9C8C2B54">
      <w:start w:val="1"/>
      <w:numFmt w:val="bullet"/>
      <w:lvlText w:val=""/>
      <w:lvlJc w:val="left"/>
      <w:pPr>
        <w:ind w:left="5040" w:hanging="360"/>
      </w:pPr>
      <w:rPr>
        <w:rFonts w:ascii="Symbol" w:hAnsi="Symbol" w:hint="default"/>
      </w:rPr>
    </w:lvl>
    <w:lvl w:ilvl="7" w:tplc="BF12AD90">
      <w:start w:val="1"/>
      <w:numFmt w:val="bullet"/>
      <w:lvlText w:val="o"/>
      <w:lvlJc w:val="left"/>
      <w:pPr>
        <w:ind w:left="5760" w:hanging="360"/>
      </w:pPr>
      <w:rPr>
        <w:rFonts w:ascii="Courier New" w:hAnsi="Courier New" w:hint="default"/>
      </w:rPr>
    </w:lvl>
    <w:lvl w:ilvl="8" w:tplc="EC865A9E">
      <w:start w:val="1"/>
      <w:numFmt w:val="bullet"/>
      <w:lvlText w:val=""/>
      <w:lvlJc w:val="left"/>
      <w:pPr>
        <w:ind w:left="6480" w:hanging="360"/>
      </w:pPr>
      <w:rPr>
        <w:rFonts w:ascii="Wingdings" w:hAnsi="Wingdings" w:hint="default"/>
      </w:rPr>
    </w:lvl>
  </w:abstractNum>
  <w:abstractNum w:abstractNumId="2" w15:restartNumberingAfterBreak="0">
    <w:nsid w:val="08B535BA"/>
    <w:multiLevelType w:val="hybridMultilevel"/>
    <w:tmpl w:val="99E6A458"/>
    <w:lvl w:ilvl="0" w:tplc="99606330">
      <w:numFmt w:val="bullet"/>
      <w:lvlText w:val="•"/>
      <w:lvlJc w:val="left"/>
      <w:pPr>
        <w:ind w:left="580" w:hanging="360"/>
      </w:pPr>
      <w:rPr>
        <w:rFonts w:ascii="Calibri" w:eastAsiaTheme="minorHAnsi" w:hAnsi="Calibri" w:cs="Calibri" w:hint="default"/>
        <w:b/>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3" w15:restartNumberingAfterBreak="0">
    <w:nsid w:val="2D500AF2"/>
    <w:multiLevelType w:val="hybridMultilevel"/>
    <w:tmpl w:val="09D8F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A30BEF"/>
    <w:multiLevelType w:val="hybridMultilevel"/>
    <w:tmpl w:val="23D4F038"/>
    <w:lvl w:ilvl="0" w:tplc="29DADBC2">
      <w:start w:val="1"/>
      <w:numFmt w:val="bullet"/>
      <w:lvlText w:val="•"/>
      <w:lvlJc w:val="left"/>
      <w:pPr>
        <w:tabs>
          <w:tab w:val="num" w:pos="720"/>
        </w:tabs>
        <w:ind w:left="720" w:hanging="360"/>
      </w:pPr>
      <w:rPr>
        <w:rFonts w:ascii="Arial" w:hAnsi="Arial" w:hint="default"/>
      </w:rPr>
    </w:lvl>
    <w:lvl w:ilvl="1" w:tplc="562C556A">
      <w:start w:val="206"/>
      <w:numFmt w:val="bullet"/>
      <w:lvlText w:val=""/>
      <w:lvlJc w:val="left"/>
      <w:pPr>
        <w:tabs>
          <w:tab w:val="num" w:pos="1440"/>
        </w:tabs>
        <w:ind w:left="1440" w:hanging="360"/>
      </w:pPr>
      <w:rPr>
        <w:rFonts w:ascii="Wingdings" w:hAnsi="Wingdings" w:hint="default"/>
      </w:rPr>
    </w:lvl>
    <w:lvl w:ilvl="2" w:tplc="4AFC08EE" w:tentative="1">
      <w:start w:val="1"/>
      <w:numFmt w:val="bullet"/>
      <w:lvlText w:val="•"/>
      <w:lvlJc w:val="left"/>
      <w:pPr>
        <w:tabs>
          <w:tab w:val="num" w:pos="2160"/>
        </w:tabs>
        <w:ind w:left="2160" w:hanging="360"/>
      </w:pPr>
      <w:rPr>
        <w:rFonts w:ascii="Arial" w:hAnsi="Arial" w:hint="default"/>
      </w:rPr>
    </w:lvl>
    <w:lvl w:ilvl="3" w:tplc="DBE4412E" w:tentative="1">
      <w:start w:val="1"/>
      <w:numFmt w:val="bullet"/>
      <w:lvlText w:val="•"/>
      <w:lvlJc w:val="left"/>
      <w:pPr>
        <w:tabs>
          <w:tab w:val="num" w:pos="2880"/>
        </w:tabs>
        <w:ind w:left="2880" w:hanging="360"/>
      </w:pPr>
      <w:rPr>
        <w:rFonts w:ascii="Arial" w:hAnsi="Arial" w:hint="default"/>
      </w:rPr>
    </w:lvl>
    <w:lvl w:ilvl="4" w:tplc="082E4BFE" w:tentative="1">
      <w:start w:val="1"/>
      <w:numFmt w:val="bullet"/>
      <w:lvlText w:val="•"/>
      <w:lvlJc w:val="left"/>
      <w:pPr>
        <w:tabs>
          <w:tab w:val="num" w:pos="3600"/>
        </w:tabs>
        <w:ind w:left="3600" w:hanging="360"/>
      </w:pPr>
      <w:rPr>
        <w:rFonts w:ascii="Arial" w:hAnsi="Arial" w:hint="default"/>
      </w:rPr>
    </w:lvl>
    <w:lvl w:ilvl="5" w:tplc="B77249F4" w:tentative="1">
      <w:start w:val="1"/>
      <w:numFmt w:val="bullet"/>
      <w:lvlText w:val="•"/>
      <w:lvlJc w:val="left"/>
      <w:pPr>
        <w:tabs>
          <w:tab w:val="num" w:pos="4320"/>
        </w:tabs>
        <w:ind w:left="4320" w:hanging="360"/>
      </w:pPr>
      <w:rPr>
        <w:rFonts w:ascii="Arial" w:hAnsi="Arial" w:hint="default"/>
      </w:rPr>
    </w:lvl>
    <w:lvl w:ilvl="6" w:tplc="7242CEF6" w:tentative="1">
      <w:start w:val="1"/>
      <w:numFmt w:val="bullet"/>
      <w:lvlText w:val="•"/>
      <w:lvlJc w:val="left"/>
      <w:pPr>
        <w:tabs>
          <w:tab w:val="num" w:pos="5040"/>
        </w:tabs>
        <w:ind w:left="5040" w:hanging="360"/>
      </w:pPr>
      <w:rPr>
        <w:rFonts w:ascii="Arial" w:hAnsi="Arial" w:hint="default"/>
      </w:rPr>
    </w:lvl>
    <w:lvl w:ilvl="7" w:tplc="4B00B882" w:tentative="1">
      <w:start w:val="1"/>
      <w:numFmt w:val="bullet"/>
      <w:lvlText w:val="•"/>
      <w:lvlJc w:val="left"/>
      <w:pPr>
        <w:tabs>
          <w:tab w:val="num" w:pos="5760"/>
        </w:tabs>
        <w:ind w:left="5760" w:hanging="360"/>
      </w:pPr>
      <w:rPr>
        <w:rFonts w:ascii="Arial" w:hAnsi="Arial" w:hint="default"/>
      </w:rPr>
    </w:lvl>
    <w:lvl w:ilvl="8" w:tplc="D7A471B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EED0003"/>
    <w:multiLevelType w:val="hybridMultilevel"/>
    <w:tmpl w:val="3D10FA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B55687F"/>
    <w:multiLevelType w:val="hybridMultilevel"/>
    <w:tmpl w:val="3D10F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1B7655"/>
    <w:multiLevelType w:val="hybridMultilevel"/>
    <w:tmpl w:val="02AE4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840C46"/>
    <w:multiLevelType w:val="hybridMultilevel"/>
    <w:tmpl w:val="1730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C93EE3"/>
    <w:multiLevelType w:val="hybridMultilevel"/>
    <w:tmpl w:val="98046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A241E7"/>
    <w:multiLevelType w:val="hybridMultilevel"/>
    <w:tmpl w:val="1F94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F22250"/>
    <w:multiLevelType w:val="hybridMultilevel"/>
    <w:tmpl w:val="FCDE8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433B74"/>
    <w:multiLevelType w:val="hybridMultilevel"/>
    <w:tmpl w:val="010A2622"/>
    <w:lvl w:ilvl="0" w:tplc="3202D61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2A5603"/>
    <w:multiLevelType w:val="hybridMultilevel"/>
    <w:tmpl w:val="CE02C092"/>
    <w:lvl w:ilvl="0" w:tplc="3F6A53DA">
      <w:start w:val="1"/>
      <w:numFmt w:val="bullet"/>
      <w:lvlText w:val="·"/>
      <w:lvlJc w:val="left"/>
      <w:pPr>
        <w:ind w:left="720" w:hanging="360"/>
      </w:pPr>
      <w:rPr>
        <w:rFonts w:ascii="Symbol" w:hAnsi="Symbol" w:hint="default"/>
      </w:rPr>
    </w:lvl>
    <w:lvl w:ilvl="1" w:tplc="69984376">
      <w:start w:val="1"/>
      <w:numFmt w:val="bullet"/>
      <w:lvlText w:val="o"/>
      <w:lvlJc w:val="left"/>
      <w:pPr>
        <w:ind w:left="1440" w:hanging="360"/>
      </w:pPr>
      <w:rPr>
        <w:rFonts w:ascii="Courier New" w:hAnsi="Courier New" w:hint="default"/>
      </w:rPr>
    </w:lvl>
    <w:lvl w:ilvl="2" w:tplc="67D25900">
      <w:start w:val="1"/>
      <w:numFmt w:val="bullet"/>
      <w:lvlText w:val=""/>
      <w:lvlJc w:val="left"/>
      <w:pPr>
        <w:ind w:left="2160" w:hanging="360"/>
      </w:pPr>
      <w:rPr>
        <w:rFonts w:ascii="Wingdings" w:hAnsi="Wingdings" w:hint="default"/>
      </w:rPr>
    </w:lvl>
    <w:lvl w:ilvl="3" w:tplc="E4DEA818">
      <w:start w:val="1"/>
      <w:numFmt w:val="bullet"/>
      <w:lvlText w:val=""/>
      <w:lvlJc w:val="left"/>
      <w:pPr>
        <w:ind w:left="2880" w:hanging="360"/>
      </w:pPr>
      <w:rPr>
        <w:rFonts w:ascii="Symbol" w:hAnsi="Symbol" w:hint="default"/>
      </w:rPr>
    </w:lvl>
    <w:lvl w:ilvl="4" w:tplc="09FA0D20">
      <w:start w:val="1"/>
      <w:numFmt w:val="bullet"/>
      <w:lvlText w:val="o"/>
      <w:lvlJc w:val="left"/>
      <w:pPr>
        <w:ind w:left="3600" w:hanging="360"/>
      </w:pPr>
      <w:rPr>
        <w:rFonts w:ascii="Courier New" w:hAnsi="Courier New" w:hint="default"/>
      </w:rPr>
    </w:lvl>
    <w:lvl w:ilvl="5" w:tplc="EF2885A6">
      <w:start w:val="1"/>
      <w:numFmt w:val="bullet"/>
      <w:lvlText w:val=""/>
      <w:lvlJc w:val="left"/>
      <w:pPr>
        <w:ind w:left="4320" w:hanging="360"/>
      </w:pPr>
      <w:rPr>
        <w:rFonts w:ascii="Wingdings" w:hAnsi="Wingdings" w:hint="default"/>
      </w:rPr>
    </w:lvl>
    <w:lvl w:ilvl="6" w:tplc="AA6A0E78">
      <w:start w:val="1"/>
      <w:numFmt w:val="bullet"/>
      <w:lvlText w:val=""/>
      <w:lvlJc w:val="left"/>
      <w:pPr>
        <w:ind w:left="5040" w:hanging="360"/>
      </w:pPr>
      <w:rPr>
        <w:rFonts w:ascii="Symbol" w:hAnsi="Symbol" w:hint="default"/>
      </w:rPr>
    </w:lvl>
    <w:lvl w:ilvl="7" w:tplc="7486C10C">
      <w:start w:val="1"/>
      <w:numFmt w:val="bullet"/>
      <w:lvlText w:val="o"/>
      <w:lvlJc w:val="left"/>
      <w:pPr>
        <w:ind w:left="5760" w:hanging="360"/>
      </w:pPr>
      <w:rPr>
        <w:rFonts w:ascii="Courier New" w:hAnsi="Courier New" w:hint="default"/>
      </w:rPr>
    </w:lvl>
    <w:lvl w:ilvl="8" w:tplc="A5CACB40">
      <w:start w:val="1"/>
      <w:numFmt w:val="bullet"/>
      <w:lvlText w:val=""/>
      <w:lvlJc w:val="left"/>
      <w:pPr>
        <w:ind w:left="6480" w:hanging="360"/>
      </w:pPr>
      <w:rPr>
        <w:rFonts w:ascii="Wingdings" w:hAnsi="Wingdings" w:hint="default"/>
      </w:rPr>
    </w:lvl>
  </w:abstractNum>
  <w:abstractNum w:abstractNumId="14" w15:restartNumberingAfterBreak="0">
    <w:nsid w:val="67D639A6"/>
    <w:multiLevelType w:val="hybridMultilevel"/>
    <w:tmpl w:val="AC4EA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511A6A"/>
    <w:multiLevelType w:val="hybridMultilevel"/>
    <w:tmpl w:val="19CE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DE7582"/>
    <w:multiLevelType w:val="hybridMultilevel"/>
    <w:tmpl w:val="FCD0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E002D0"/>
    <w:multiLevelType w:val="hybridMultilevel"/>
    <w:tmpl w:val="19ECC148"/>
    <w:lvl w:ilvl="0" w:tplc="78AE11C6">
      <w:start w:val="1"/>
      <w:numFmt w:val="bullet"/>
      <w:lvlText w:val=""/>
      <w:lvlJc w:val="left"/>
      <w:pPr>
        <w:ind w:left="720" w:hanging="360"/>
      </w:pPr>
      <w:rPr>
        <w:rFonts w:ascii="Symbol" w:hAnsi="Symbol" w:hint="default"/>
      </w:rPr>
    </w:lvl>
    <w:lvl w:ilvl="1" w:tplc="5738668A">
      <w:start w:val="1"/>
      <w:numFmt w:val="bullet"/>
      <w:lvlText w:val="o"/>
      <w:lvlJc w:val="left"/>
      <w:pPr>
        <w:ind w:left="1440" w:hanging="360"/>
      </w:pPr>
      <w:rPr>
        <w:rFonts w:ascii="Courier New" w:hAnsi="Courier New" w:hint="default"/>
      </w:rPr>
    </w:lvl>
    <w:lvl w:ilvl="2" w:tplc="3A180E38">
      <w:start w:val="1"/>
      <w:numFmt w:val="bullet"/>
      <w:lvlText w:val=""/>
      <w:lvlJc w:val="left"/>
      <w:pPr>
        <w:ind w:left="2160" w:hanging="360"/>
      </w:pPr>
      <w:rPr>
        <w:rFonts w:ascii="Wingdings" w:hAnsi="Wingdings" w:hint="default"/>
      </w:rPr>
    </w:lvl>
    <w:lvl w:ilvl="3" w:tplc="C484774A">
      <w:start w:val="1"/>
      <w:numFmt w:val="bullet"/>
      <w:lvlText w:val=""/>
      <w:lvlJc w:val="left"/>
      <w:pPr>
        <w:ind w:left="2880" w:hanging="360"/>
      </w:pPr>
      <w:rPr>
        <w:rFonts w:ascii="Symbol" w:hAnsi="Symbol" w:hint="default"/>
      </w:rPr>
    </w:lvl>
    <w:lvl w:ilvl="4" w:tplc="DC3EC870">
      <w:start w:val="1"/>
      <w:numFmt w:val="bullet"/>
      <w:lvlText w:val="o"/>
      <w:lvlJc w:val="left"/>
      <w:pPr>
        <w:ind w:left="3600" w:hanging="360"/>
      </w:pPr>
      <w:rPr>
        <w:rFonts w:ascii="Courier New" w:hAnsi="Courier New" w:hint="default"/>
      </w:rPr>
    </w:lvl>
    <w:lvl w:ilvl="5" w:tplc="1EB0CA34">
      <w:start w:val="1"/>
      <w:numFmt w:val="bullet"/>
      <w:lvlText w:val=""/>
      <w:lvlJc w:val="left"/>
      <w:pPr>
        <w:ind w:left="4320" w:hanging="360"/>
      </w:pPr>
      <w:rPr>
        <w:rFonts w:ascii="Wingdings" w:hAnsi="Wingdings" w:hint="default"/>
      </w:rPr>
    </w:lvl>
    <w:lvl w:ilvl="6" w:tplc="D6646802">
      <w:start w:val="1"/>
      <w:numFmt w:val="bullet"/>
      <w:lvlText w:val=""/>
      <w:lvlJc w:val="left"/>
      <w:pPr>
        <w:ind w:left="5040" w:hanging="360"/>
      </w:pPr>
      <w:rPr>
        <w:rFonts w:ascii="Symbol" w:hAnsi="Symbol" w:hint="default"/>
      </w:rPr>
    </w:lvl>
    <w:lvl w:ilvl="7" w:tplc="70E2EE32">
      <w:start w:val="1"/>
      <w:numFmt w:val="bullet"/>
      <w:lvlText w:val="o"/>
      <w:lvlJc w:val="left"/>
      <w:pPr>
        <w:ind w:left="5760" w:hanging="360"/>
      </w:pPr>
      <w:rPr>
        <w:rFonts w:ascii="Courier New" w:hAnsi="Courier New" w:hint="default"/>
      </w:rPr>
    </w:lvl>
    <w:lvl w:ilvl="8" w:tplc="91722D98">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
  </w:num>
  <w:num w:numId="4">
    <w:abstractNumId w:val="14"/>
  </w:num>
  <w:num w:numId="5">
    <w:abstractNumId w:val="6"/>
  </w:num>
  <w:num w:numId="6">
    <w:abstractNumId w:val="5"/>
  </w:num>
  <w:num w:numId="7">
    <w:abstractNumId w:val="10"/>
  </w:num>
  <w:num w:numId="8">
    <w:abstractNumId w:val="7"/>
  </w:num>
  <w:num w:numId="9">
    <w:abstractNumId w:val="16"/>
  </w:num>
  <w:num w:numId="10">
    <w:abstractNumId w:val="12"/>
  </w:num>
  <w:num w:numId="11">
    <w:abstractNumId w:val="2"/>
  </w:num>
  <w:num w:numId="12">
    <w:abstractNumId w:val="8"/>
  </w:num>
  <w:num w:numId="13">
    <w:abstractNumId w:val="11"/>
  </w:num>
  <w:num w:numId="14">
    <w:abstractNumId w:val="15"/>
  </w:num>
  <w:num w:numId="15">
    <w:abstractNumId w:val="0"/>
  </w:num>
  <w:num w:numId="16">
    <w:abstractNumId w:val="3"/>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311E6"/>
    <w:rsid w:val="00301BC8"/>
    <w:rsid w:val="00387B96"/>
    <w:rsid w:val="003A17C0"/>
    <w:rsid w:val="003A3000"/>
    <w:rsid w:val="005204D0"/>
    <w:rsid w:val="00612C8D"/>
    <w:rsid w:val="006311E6"/>
    <w:rsid w:val="007F6ADD"/>
    <w:rsid w:val="0081509A"/>
    <w:rsid w:val="0089246C"/>
    <w:rsid w:val="00A2737B"/>
    <w:rsid w:val="00A33BF5"/>
    <w:rsid w:val="00A83BEB"/>
    <w:rsid w:val="00AB59F8"/>
    <w:rsid w:val="00BB2D78"/>
    <w:rsid w:val="00BD2525"/>
    <w:rsid w:val="00CD32CA"/>
    <w:rsid w:val="00CD45B7"/>
    <w:rsid w:val="00CD7682"/>
    <w:rsid w:val="00CE11DA"/>
    <w:rsid w:val="00E366DC"/>
    <w:rsid w:val="00EC735A"/>
    <w:rsid w:val="00F14218"/>
    <w:rsid w:val="05F3316B"/>
    <w:rsid w:val="15354D38"/>
    <w:rsid w:val="1BA0C268"/>
    <w:rsid w:val="1E0B757B"/>
    <w:rsid w:val="2BDA4F82"/>
    <w:rsid w:val="2E2986CB"/>
    <w:rsid w:val="2FC1EB38"/>
    <w:rsid w:val="37279375"/>
    <w:rsid w:val="3C8AB1D7"/>
    <w:rsid w:val="3F300194"/>
    <w:rsid w:val="4057FABC"/>
    <w:rsid w:val="4621C301"/>
    <w:rsid w:val="47BD9362"/>
    <w:rsid w:val="500C6D46"/>
    <w:rsid w:val="53EAB1BB"/>
    <w:rsid w:val="687B6E3B"/>
    <w:rsid w:val="7D049350"/>
    <w:rsid w:val="7EA06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7BB42"/>
  <w15:chartTrackingRefBased/>
  <w15:docId w15:val="{F6BABC08-14F3-4A1C-9B0B-EE5FAC6E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1E6"/>
    <w:pPr>
      <w:ind w:left="720"/>
      <w:contextualSpacing/>
    </w:pPr>
  </w:style>
  <w:style w:type="table" w:styleId="TableGrid">
    <w:name w:val="Table Grid"/>
    <w:basedOn w:val="TableNormal"/>
    <w:uiPriority w:val="39"/>
    <w:rsid w:val="00520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2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C8D"/>
  </w:style>
  <w:style w:type="paragraph" w:styleId="Footer">
    <w:name w:val="footer"/>
    <w:basedOn w:val="Normal"/>
    <w:link w:val="FooterChar"/>
    <w:uiPriority w:val="99"/>
    <w:unhideWhenUsed/>
    <w:rsid w:val="00612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C8D"/>
  </w:style>
  <w:style w:type="paragraph" w:styleId="BalloonText">
    <w:name w:val="Balloon Text"/>
    <w:basedOn w:val="Normal"/>
    <w:link w:val="BalloonTextChar"/>
    <w:uiPriority w:val="99"/>
    <w:semiHidden/>
    <w:unhideWhenUsed/>
    <w:rsid w:val="00F14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218"/>
    <w:rPr>
      <w:rFonts w:ascii="Segoe UI" w:hAnsi="Segoe UI" w:cs="Segoe UI"/>
      <w:sz w:val="18"/>
      <w:szCs w:val="18"/>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FootnoteText">
    <w:name w:val="footnote text"/>
    <w:basedOn w:val="Normal"/>
    <w:link w:val="FootnoteTextChar"/>
    <w:uiPriority w:val="99"/>
    <w:semiHidden/>
    <w:unhideWhenUsed/>
    <w:rsid w:val="00CD76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7682"/>
    <w:rPr>
      <w:sz w:val="20"/>
      <w:szCs w:val="20"/>
    </w:rPr>
  </w:style>
  <w:style w:type="character" w:styleId="FootnoteReference">
    <w:name w:val="footnote reference"/>
    <w:basedOn w:val="DefaultParagraphFont"/>
    <w:uiPriority w:val="99"/>
    <w:semiHidden/>
    <w:unhideWhenUsed/>
    <w:rsid w:val="00CD7682"/>
    <w:rPr>
      <w:vertAlign w:val="superscript"/>
    </w:rPr>
  </w:style>
  <w:style w:type="table" w:customStyle="1" w:styleId="TableGrid1">
    <w:name w:val="Table Grid1"/>
    <w:basedOn w:val="TableNormal"/>
    <w:next w:val="TableGrid"/>
    <w:uiPriority w:val="39"/>
    <w:rsid w:val="00CD7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768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9">
    <w:name w:val="Pa19"/>
    <w:basedOn w:val="Default"/>
    <w:next w:val="Default"/>
    <w:uiPriority w:val="99"/>
    <w:rsid w:val="00CD7682"/>
    <w:pPr>
      <w:spacing w:line="201" w:lineRule="atLeast"/>
    </w:pPr>
    <w:rPr>
      <w:rFonts w:ascii="EC Square Sans Pro" w:hAnsi="EC Square Sans Pro" w:cstheme="minorBidi"/>
      <w:color w:val="auto"/>
    </w:rPr>
  </w:style>
  <w:style w:type="paragraph" w:customStyle="1" w:styleId="Pa26">
    <w:name w:val="Pa26"/>
    <w:basedOn w:val="Default"/>
    <w:next w:val="Default"/>
    <w:uiPriority w:val="99"/>
    <w:rsid w:val="00CD7682"/>
    <w:pPr>
      <w:spacing w:line="201" w:lineRule="atLeast"/>
    </w:pPr>
    <w:rPr>
      <w:rFonts w:ascii="EC Square Sans Pro" w:hAnsi="EC Square Sans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24022E66C1540A3B1E037465E0CE3" ma:contentTypeVersion="6" ma:contentTypeDescription="Create a new document." ma:contentTypeScope="" ma:versionID="1a358eede45ef319d2a2e8bd5026bf47">
  <xsd:schema xmlns:xsd="http://www.w3.org/2001/XMLSchema" xmlns:xs="http://www.w3.org/2001/XMLSchema" xmlns:p="http://schemas.microsoft.com/office/2006/metadata/properties" xmlns:ns2="d07530ff-ae8d-4383-9420-67306a016191" xmlns:ns3="d0b4669b-3562-445a-a428-e501203eb641" targetNamespace="http://schemas.microsoft.com/office/2006/metadata/properties" ma:root="true" ma:fieldsID="22c344dc126d5dfb151c55654ddf30d0" ns2:_="" ns3:_="">
    <xsd:import namespace="d07530ff-ae8d-4383-9420-67306a016191"/>
    <xsd:import namespace="d0b4669b-3562-445a-a428-e501203eb6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530ff-ae8d-4383-9420-67306a016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4669b-3562-445a-a428-e501203eb6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27CFCEC-B1B5-4D89-B90C-44825C6C3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530ff-ae8d-4383-9420-67306a016191"/>
    <ds:schemaRef ds:uri="d0b4669b-3562-445a-a428-e501203eb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6A864-BC6A-4805-957A-BCD3C7A381ED}">
  <ds:schemaRefs>
    <ds:schemaRef ds:uri="http://schemas.microsoft.com/sharepoint/v3/contenttype/forms"/>
  </ds:schemaRefs>
</ds:datastoreItem>
</file>

<file path=customXml/itemProps3.xml><?xml version="1.0" encoding="utf-8"?>
<ds:datastoreItem xmlns:ds="http://schemas.openxmlformats.org/officeDocument/2006/customXml" ds:itemID="{8B569AA2-B252-4BF5-A03C-91CD919F992A}">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d07530ff-ae8d-4383-9420-67306a016191"/>
    <ds:schemaRef ds:uri="http://purl.org/dc/terms/"/>
    <ds:schemaRef ds:uri="d0b4669b-3562-445a-a428-e501203eb641"/>
    <ds:schemaRef ds:uri="http://www.w3.org/XML/1998/namespace"/>
  </ds:schemaRefs>
</ds:datastoreItem>
</file>

<file path=customXml/itemProps4.xml><?xml version="1.0" encoding="utf-8"?>
<ds:datastoreItem xmlns:ds="http://schemas.openxmlformats.org/officeDocument/2006/customXml" ds:itemID="{8D2B5C24-AD5F-4AEB-BC56-C840BD5F3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1205</Words>
  <Characters>7318</Characters>
  <Application>Microsoft Office Word</Application>
  <DocSecurity>0</DocSecurity>
  <Lines>197</Lines>
  <Paragraphs>72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ALEIXO Manuel (RTD)</dc:creator>
  <cp:keywords/>
  <dc:description/>
  <cp:lastModifiedBy>SEIP Anna (DEVCO)</cp:lastModifiedBy>
  <cp:revision>3</cp:revision>
  <cp:lastPrinted>2022-04-05T13:27:00Z</cp:lastPrinted>
  <dcterms:created xsi:type="dcterms:W3CDTF">2022-05-12T09:26:00Z</dcterms:created>
  <dcterms:modified xsi:type="dcterms:W3CDTF">2022-05-12T14:23:00Z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0x01010043D24022E66C1540A3B1E037465E0CE3</vt:lpwstr>
  </property>
</Properties>
</file>