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3D74D" w14:textId="5BB52A3E" w:rsidR="00753D4E" w:rsidRDefault="00753D4E" w:rsidP="008053BA">
      <w:pPr>
        <w:rPr>
          <w:sz w:val="40"/>
          <w:szCs w:val="40"/>
        </w:rPr>
      </w:pPr>
    </w:p>
    <w:p w14:paraId="50227DE4" w14:textId="0D134317" w:rsidR="008053BA" w:rsidRDefault="008053BA" w:rsidP="008053BA">
      <w:pPr>
        <w:rPr>
          <w:sz w:val="40"/>
          <w:szCs w:val="40"/>
        </w:rPr>
      </w:pPr>
    </w:p>
    <w:p w14:paraId="3701757D" w14:textId="1470BC0C" w:rsidR="008053BA" w:rsidRDefault="008053BA" w:rsidP="008053BA">
      <w:pPr>
        <w:rPr>
          <w:sz w:val="40"/>
          <w:szCs w:val="40"/>
        </w:rPr>
      </w:pPr>
    </w:p>
    <w:p w14:paraId="43EAD161" w14:textId="6E46A420" w:rsidR="008053BA" w:rsidRDefault="008053BA" w:rsidP="008053BA">
      <w:pPr>
        <w:rPr>
          <w:sz w:val="40"/>
          <w:szCs w:val="40"/>
        </w:rPr>
      </w:pPr>
    </w:p>
    <w:p w14:paraId="27134F58" w14:textId="77777777" w:rsidR="008053BA" w:rsidRPr="008053BA" w:rsidRDefault="008053BA" w:rsidP="008053BA">
      <w:pPr>
        <w:rPr>
          <w:sz w:val="40"/>
          <w:szCs w:val="40"/>
        </w:rPr>
      </w:pPr>
      <w:bookmarkStart w:id="0" w:name="_GoBack"/>
      <w:bookmarkEnd w:id="0"/>
    </w:p>
    <w:p w14:paraId="4155B53F" w14:textId="3A373285" w:rsidR="00753D4E" w:rsidRDefault="00753D4E" w:rsidP="00753D4E">
      <w:pPr>
        <w:pBdr>
          <w:top w:val="single" w:sz="4" w:space="1" w:color="auto"/>
          <w:left w:val="single" w:sz="4" w:space="4" w:color="auto"/>
          <w:bottom w:val="single" w:sz="4" w:space="1" w:color="auto"/>
          <w:right w:val="single" w:sz="4" w:space="4" w:color="auto"/>
        </w:pBdr>
        <w:rPr>
          <w:b/>
          <w:bCs/>
          <w:sz w:val="40"/>
          <w:szCs w:val="40"/>
        </w:rPr>
      </w:pPr>
      <w:r w:rsidRPr="00753D4E">
        <w:rPr>
          <w:b/>
          <w:bCs/>
          <w:sz w:val="40"/>
          <w:szCs w:val="40"/>
        </w:rPr>
        <w:t xml:space="preserve">Action 20: </w:t>
      </w:r>
    </w:p>
    <w:p w14:paraId="6A05A809" w14:textId="2C9A9513" w:rsidR="00753D4E" w:rsidRPr="00753D4E" w:rsidRDefault="00753D4E" w:rsidP="00753D4E">
      <w:pPr>
        <w:pBdr>
          <w:top w:val="single" w:sz="4" w:space="1" w:color="auto"/>
          <w:left w:val="single" w:sz="4" w:space="4" w:color="auto"/>
          <w:bottom w:val="single" w:sz="4" w:space="1" w:color="auto"/>
          <w:right w:val="single" w:sz="4" w:space="4" w:color="auto"/>
        </w:pBdr>
        <w:rPr>
          <w:sz w:val="40"/>
          <w:szCs w:val="40"/>
        </w:rPr>
      </w:pPr>
      <w:r w:rsidRPr="00753D4E">
        <w:rPr>
          <w:rFonts w:ascii="Calibri" w:eastAsia="Calibri" w:hAnsi="Calibri" w:cs="Calibri"/>
          <w:b/>
          <w:bCs/>
          <w:sz w:val="40"/>
          <w:szCs w:val="40"/>
        </w:rPr>
        <w:t xml:space="preserve">Support to the prioritisation, coordination and direction of </w:t>
      </w:r>
      <w:proofErr w:type="spellStart"/>
      <w:r w:rsidRPr="00753D4E">
        <w:rPr>
          <w:rFonts w:ascii="Calibri" w:eastAsia="Calibri" w:hAnsi="Calibri" w:cs="Calibri"/>
          <w:b/>
          <w:bCs/>
          <w:sz w:val="40"/>
          <w:szCs w:val="40"/>
        </w:rPr>
        <w:t>R&amp;I</w:t>
      </w:r>
      <w:proofErr w:type="spellEnd"/>
      <w:r w:rsidRPr="00753D4E">
        <w:rPr>
          <w:rFonts w:ascii="Calibri" w:eastAsia="Calibri" w:hAnsi="Calibri" w:cs="Calibri"/>
          <w:b/>
          <w:bCs/>
          <w:sz w:val="40"/>
          <w:szCs w:val="40"/>
        </w:rPr>
        <w:t xml:space="preserve"> investments and reforms</w:t>
      </w:r>
      <w:r w:rsidRPr="00753D4E">
        <w:rPr>
          <w:sz w:val="40"/>
          <w:szCs w:val="40"/>
        </w:rPr>
        <w:t xml:space="preserve"> </w:t>
      </w:r>
      <w:r w:rsidRPr="00753D4E">
        <w:rPr>
          <w:sz w:val="40"/>
          <w:szCs w:val="40"/>
        </w:rPr>
        <w:br w:type="page"/>
      </w:r>
    </w:p>
    <w:tbl>
      <w:tblPr>
        <w:tblStyle w:val="TableGrid"/>
        <w:tblW w:w="0" w:type="auto"/>
        <w:jc w:val="center"/>
        <w:tblCellMar>
          <w:top w:w="113" w:type="dxa"/>
          <w:bottom w:w="113" w:type="dxa"/>
        </w:tblCellMar>
        <w:tblLook w:val="04A0" w:firstRow="1" w:lastRow="0" w:firstColumn="1" w:lastColumn="0" w:noHBand="0" w:noVBand="1"/>
      </w:tblPr>
      <w:tblGrid>
        <w:gridCol w:w="8041"/>
      </w:tblGrid>
      <w:tr w:rsidR="00753D4E" w14:paraId="36D11553" w14:textId="77777777" w:rsidTr="008053BA">
        <w:trPr>
          <w:jc w:val="center"/>
        </w:trPr>
        <w:tc>
          <w:tcPr>
            <w:tcW w:w="8041" w:type="dxa"/>
            <w:tcBorders>
              <w:top w:val="single" w:sz="12" w:space="0" w:color="auto"/>
              <w:left w:val="single" w:sz="12" w:space="0" w:color="auto"/>
              <w:right w:val="single" w:sz="12" w:space="0" w:color="auto"/>
            </w:tcBorders>
            <w:shd w:val="clear" w:color="auto" w:fill="000000" w:themeFill="text1"/>
          </w:tcPr>
          <w:p w14:paraId="77C40A6E" w14:textId="77777777" w:rsidR="00753D4E" w:rsidRPr="00387B96" w:rsidRDefault="00753D4E" w:rsidP="007037E4">
            <w:pPr>
              <w:rPr>
                <w:rFonts w:ascii="Calibri" w:eastAsia="Calibri" w:hAnsi="Calibri" w:cs="Calibri"/>
                <w:b/>
                <w:bCs/>
              </w:rPr>
            </w:pPr>
            <w:r w:rsidRPr="45074A11">
              <w:rPr>
                <w:b/>
                <w:bCs/>
              </w:rPr>
              <w:lastRenderedPageBreak/>
              <w:t xml:space="preserve">Action 20: </w:t>
            </w:r>
            <w:r w:rsidRPr="45074A11">
              <w:rPr>
                <w:rFonts w:ascii="Calibri" w:eastAsia="Calibri" w:hAnsi="Calibri" w:cs="Calibri"/>
                <w:b/>
                <w:bCs/>
              </w:rPr>
              <w:t xml:space="preserve">Support to the prioritisation, coordination and direction of </w:t>
            </w:r>
            <w:proofErr w:type="spellStart"/>
            <w:r w:rsidRPr="45074A11">
              <w:rPr>
                <w:rFonts w:ascii="Calibri" w:eastAsia="Calibri" w:hAnsi="Calibri" w:cs="Calibri"/>
                <w:b/>
                <w:bCs/>
              </w:rPr>
              <w:t>R&amp;I</w:t>
            </w:r>
            <w:proofErr w:type="spellEnd"/>
            <w:r w:rsidRPr="45074A11">
              <w:rPr>
                <w:rFonts w:ascii="Calibri" w:eastAsia="Calibri" w:hAnsi="Calibri" w:cs="Calibri"/>
                <w:b/>
                <w:bCs/>
              </w:rPr>
              <w:t xml:space="preserve"> investments and reforms</w:t>
            </w:r>
          </w:p>
        </w:tc>
      </w:tr>
      <w:tr w:rsidR="00753D4E" w14:paraId="4399DFA6" w14:textId="77777777" w:rsidTr="008053BA">
        <w:trPr>
          <w:jc w:val="center"/>
        </w:trPr>
        <w:tc>
          <w:tcPr>
            <w:tcW w:w="8041" w:type="dxa"/>
            <w:tcBorders>
              <w:left w:val="single" w:sz="12" w:space="0" w:color="auto"/>
              <w:right w:val="single" w:sz="12" w:space="0" w:color="auto"/>
            </w:tcBorders>
          </w:tcPr>
          <w:p w14:paraId="0E2BD245" w14:textId="77777777" w:rsidR="00753D4E" w:rsidRDefault="00753D4E" w:rsidP="007037E4">
            <w:pPr>
              <w:rPr>
                <w:rFonts w:ascii="Calibri" w:eastAsia="Calibri" w:hAnsi="Calibri" w:cs="Calibri"/>
              </w:rPr>
            </w:pPr>
            <w:r w:rsidRPr="01B6263E">
              <w:rPr>
                <w:rFonts w:ascii="Calibri" w:eastAsia="Calibri" w:hAnsi="Calibri" w:cs="Calibri"/>
              </w:rPr>
              <w:t>Member State/associated country/</w:t>
            </w:r>
            <w:proofErr w:type="spellStart"/>
            <w:r w:rsidRPr="01B6263E">
              <w:rPr>
                <w:rFonts w:ascii="Calibri" w:eastAsia="Calibri" w:hAnsi="Calibri" w:cs="Calibri"/>
              </w:rPr>
              <w:t>stakeholder</w:t>
            </w:r>
            <w:r>
              <w:rPr>
                <w:rFonts w:ascii="Calibri" w:eastAsia="Calibri" w:hAnsi="Calibri" w:cs="Calibri"/>
                <w:vertAlign w:val="superscript"/>
              </w:rPr>
              <w:t>1</w:t>
            </w:r>
            <w:proofErr w:type="spellEnd"/>
            <w:r w:rsidRPr="01B6263E">
              <w:rPr>
                <w:rFonts w:ascii="Calibri" w:eastAsia="Calibri" w:hAnsi="Calibri" w:cs="Calibri"/>
              </w:rPr>
              <w:t>:</w:t>
            </w:r>
          </w:p>
          <w:p w14:paraId="422E4E9F" w14:textId="77777777" w:rsidR="00753D4E" w:rsidRDefault="00753D4E" w:rsidP="007037E4">
            <w:pPr>
              <w:rPr>
                <w:rFonts w:ascii="Calibri" w:eastAsia="Calibri" w:hAnsi="Calibri" w:cs="Calibri"/>
              </w:rPr>
            </w:pPr>
          </w:p>
          <w:p w14:paraId="058B1463" w14:textId="77777777" w:rsidR="00753D4E" w:rsidRDefault="00753D4E" w:rsidP="007037E4">
            <w:pPr>
              <w:rPr>
                <w:rFonts w:ascii="Calibri" w:eastAsia="Calibri" w:hAnsi="Calibri" w:cs="Calibri"/>
              </w:rPr>
            </w:pPr>
          </w:p>
        </w:tc>
      </w:tr>
      <w:tr w:rsidR="00753D4E" w14:paraId="7436E107" w14:textId="77777777" w:rsidTr="008053BA">
        <w:trPr>
          <w:jc w:val="center"/>
        </w:trPr>
        <w:tc>
          <w:tcPr>
            <w:tcW w:w="8041" w:type="dxa"/>
            <w:tcBorders>
              <w:left w:val="single" w:sz="12" w:space="0" w:color="auto"/>
              <w:right w:val="single" w:sz="12" w:space="0" w:color="auto"/>
            </w:tcBorders>
          </w:tcPr>
          <w:p w14:paraId="0125BA4D" w14:textId="77777777" w:rsidR="00753D4E" w:rsidRDefault="00753D4E" w:rsidP="007037E4">
            <w:pPr>
              <w:spacing w:line="257" w:lineRule="auto"/>
            </w:pPr>
            <w:r w:rsidRPr="01B6263E">
              <w:rPr>
                <w:rFonts w:ascii="Calibri" w:eastAsia="Calibri" w:hAnsi="Calibri" w:cs="Calibri"/>
              </w:rPr>
              <w:t xml:space="preserve">Lead entity at national level and contact </w:t>
            </w:r>
            <w:proofErr w:type="spellStart"/>
            <w:r w:rsidRPr="01B6263E">
              <w:rPr>
                <w:rFonts w:ascii="Calibri" w:eastAsia="Calibri" w:hAnsi="Calibri" w:cs="Calibri"/>
              </w:rPr>
              <w:t>person</w:t>
            </w:r>
            <w:r>
              <w:rPr>
                <w:rFonts w:ascii="Calibri" w:eastAsia="Calibri" w:hAnsi="Calibri" w:cs="Calibri"/>
                <w:vertAlign w:val="superscript"/>
              </w:rPr>
              <w:t>1</w:t>
            </w:r>
            <w:proofErr w:type="spellEnd"/>
            <w:r w:rsidRPr="01B6263E">
              <w:rPr>
                <w:rFonts w:ascii="Calibri" w:eastAsia="Calibri" w:hAnsi="Calibri" w:cs="Calibri"/>
              </w:rPr>
              <w:t>:</w:t>
            </w:r>
          </w:p>
          <w:p w14:paraId="1F68CB08" w14:textId="77777777" w:rsidR="00753D4E" w:rsidRDefault="00753D4E" w:rsidP="007037E4">
            <w:pPr>
              <w:rPr>
                <w:rFonts w:ascii="Calibri" w:eastAsia="Calibri" w:hAnsi="Calibri" w:cs="Calibri"/>
                <w:i/>
                <w:iCs/>
                <w:sz w:val="18"/>
                <w:szCs w:val="18"/>
              </w:rPr>
            </w:pPr>
            <w:r w:rsidRPr="01B6263E">
              <w:rPr>
                <w:rFonts w:ascii="Calibri" w:eastAsia="Calibri" w:hAnsi="Calibri" w:cs="Calibri"/>
                <w:i/>
                <w:iCs/>
                <w:sz w:val="18"/>
                <w:szCs w:val="18"/>
              </w:rPr>
              <w:t>[Indicate the organisation, name, position, e-mail address.]</w:t>
            </w:r>
          </w:p>
          <w:p w14:paraId="1241A815" w14:textId="77777777" w:rsidR="00753D4E" w:rsidRDefault="00753D4E" w:rsidP="007037E4">
            <w:pPr>
              <w:rPr>
                <w:rFonts w:ascii="Calibri" w:eastAsia="Calibri" w:hAnsi="Calibri" w:cs="Calibri"/>
                <w:i/>
                <w:iCs/>
                <w:sz w:val="18"/>
                <w:szCs w:val="18"/>
              </w:rPr>
            </w:pPr>
          </w:p>
          <w:p w14:paraId="7BD9F91E" w14:textId="77777777" w:rsidR="00753D4E" w:rsidRDefault="00753D4E" w:rsidP="007037E4">
            <w:pPr>
              <w:rPr>
                <w:rFonts w:ascii="Calibri" w:eastAsia="Calibri" w:hAnsi="Calibri" w:cs="Calibri"/>
                <w:i/>
                <w:iCs/>
                <w:sz w:val="18"/>
                <w:szCs w:val="18"/>
              </w:rPr>
            </w:pPr>
          </w:p>
        </w:tc>
      </w:tr>
      <w:tr w:rsidR="00753D4E" w14:paraId="37570B1E" w14:textId="77777777" w:rsidTr="008053BA">
        <w:trPr>
          <w:trHeight w:val="3649"/>
          <w:jc w:val="center"/>
        </w:trPr>
        <w:tc>
          <w:tcPr>
            <w:tcW w:w="8041" w:type="dxa"/>
            <w:tcBorders>
              <w:left w:val="single" w:sz="12" w:space="0" w:color="auto"/>
              <w:right w:val="single" w:sz="12" w:space="0" w:color="auto"/>
            </w:tcBorders>
          </w:tcPr>
          <w:p w14:paraId="7863CC24" w14:textId="77777777" w:rsidR="00753D4E" w:rsidRDefault="00753D4E" w:rsidP="007037E4">
            <w:pPr>
              <w:spacing w:line="257" w:lineRule="auto"/>
              <w:jc w:val="both"/>
            </w:pPr>
            <w:r w:rsidRPr="01B6263E">
              <w:rPr>
                <w:rFonts w:ascii="Calibri" w:eastAsia="Calibri" w:hAnsi="Calibri" w:cs="Calibri"/>
              </w:rPr>
              <w:t>The action includes the following types of activities:</w:t>
            </w:r>
          </w:p>
          <w:p w14:paraId="279B71FF" w14:textId="77777777" w:rsidR="00753D4E" w:rsidRDefault="00753D4E" w:rsidP="007037E4">
            <w:pPr>
              <w:spacing w:line="257" w:lineRule="auto"/>
              <w:jc w:val="both"/>
            </w:pPr>
            <w:r w:rsidRPr="01B6263E">
              <w:rPr>
                <w:rFonts w:ascii="Calibri" w:eastAsia="Calibri" w:hAnsi="Calibri" w:cs="Calibri"/>
                <w:i/>
                <w:iCs/>
                <w:sz w:val="18"/>
                <w:szCs w:val="18"/>
              </w:rPr>
              <w:t>[These are examples of activities, in which the country or organisation could participate in. For more detailed information, including the objectives, please refer to the explanatory document(s) of this action.]</w:t>
            </w:r>
          </w:p>
          <w:p w14:paraId="1171134A" w14:textId="77777777" w:rsidR="00753D4E" w:rsidRDefault="00753D4E" w:rsidP="007037E4">
            <w:pPr>
              <w:spacing w:line="257" w:lineRule="auto"/>
              <w:jc w:val="both"/>
              <w:rPr>
                <w:rFonts w:ascii="Calibri" w:eastAsia="Calibri" w:hAnsi="Calibri" w:cs="Calibri"/>
                <w:i/>
                <w:iCs/>
                <w:sz w:val="18"/>
                <w:szCs w:val="18"/>
              </w:rPr>
            </w:pPr>
          </w:p>
          <w:p w14:paraId="39FDB495" w14:textId="77777777" w:rsidR="00753D4E" w:rsidRDefault="00753D4E" w:rsidP="00753D4E">
            <w:pPr>
              <w:pStyle w:val="ListParagraph"/>
              <w:numPr>
                <w:ilvl w:val="0"/>
                <w:numId w:val="2"/>
              </w:numPr>
              <w:spacing w:after="120" w:line="360" w:lineRule="auto"/>
              <w:jc w:val="both"/>
              <w:rPr>
                <w:rFonts w:eastAsiaTheme="minorEastAsia"/>
                <w:lang w:val="en-US"/>
              </w:rPr>
            </w:pPr>
            <w:r w:rsidRPr="7B117C9A">
              <w:rPr>
                <w:rFonts w:ascii="Calibri" w:eastAsia="Calibri" w:hAnsi="Calibri" w:cs="Calibri"/>
                <w:u w:val="single"/>
                <w:lang w:val="en-US"/>
              </w:rPr>
              <w:t>For outcome 20.1</w:t>
            </w:r>
            <w:r w:rsidRPr="7B117C9A">
              <w:rPr>
                <w:rFonts w:ascii="Calibri" w:eastAsia="Calibri" w:hAnsi="Calibri" w:cs="Calibri"/>
                <w:lang w:val="en-US"/>
              </w:rPr>
              <w:t>: To actively participate in joint policy and technical discussions with experts, policymakers and stakeholders to reflect on the targets and commonly agree on their specificities as well as on the process and methodology for their roll out at national level. This would result in voluntarily translating the R&amp;D targets in the national contexts with the help notably of the future ERA Scoreboard. This action will provide quantitative information, including from joint work and cooperation with Eurostat as well as the OECD.</w:t>
            </w:r>
          </w:p>
          <w:p w14:paraId="55058288" w14:textId="77777777" w:rsidR="00753D4E" w:rsidRDefault="00753D4E" w:rsidP="00753D4E">
            <w:pPr>
              <w:pStyle w:val="ListParagraph"/>
              <w:numPr>
                <w:ilvl w:val="0"/>
                <w:numId w:val="2"/>
              </w:numPr>
              <w:spacing w:after="120" w:line="360" w:lineRule="auto"/>
              <w:jc w:val="both"/>
              <w:rPr>
                <w:rFonts w:eastAsiaTheme="minorEastAsia"/>
                <w:lang w:val="en-US"/>
              </w:rPr>
            </w:pPr>
            <w:r w:rsidRPr="7B117C9A">
              <w:rPr>
                <w:u w:val="single"/>
                <w:lang w:val="en-US"/>
              </w:rPr>
              <w:t>For outcome 20.2:</w:t>
            </w:r>
            <w:r w:rsidRPr="7B117C9A">
              <w:rPr>
                <w:lang w:val="en-US"/>
              </w:rPr>
              <w:t xml:space="preserve"> Bilateral dialogues to discuss the need for assistance in implementing the actions on the ERA policy agenda and help monitor the progress of its implementation </w:t>
            </w:r>
          </w:p>
          <w:p w14:paraId="4F6D8368" w14:textId="77777777" w:rsidR="00753D4E" w:rsidRDefault="00753D4E" w:rsidP="00753D4E">
            <w:pPr>
              <w:pStyle w:val="ListParagraph"/>
              <w:numPr>
                <w:ilvl w:val="0"/>
                <w:numId w:val="2"/>
              </w:numPr>
              <w:spacing w:after="120" w:line="360" w:lineRule="auto"/>
              <w:jc w:val="both"/>
              <w:rPr>
                <w:lang w:val="en-US"/>
              </w:rPr>
            </w:pPr>
            <w:r w:rsidRPr="7B117C9A">
              <w:rPr>
                <w:u w:val="single"/>
                <w:lang w:val="en-US"/>
              </w:rPr>
              <w:t>For both outcomes:</w:t>
            </w:r>
            <w:r w:rsidRPr="7B117C9A">
              <w:rPr>
                <w:lang w:val="en-US"/>
              </w:rPr>
              <w:t xml:space="preserve"> To take part in technical expertise and capacity-building exercises for the implementation of the different actions in the ERA policy agenda and peer learning, as needed.</w:t>
            </w:r>
          </w:p>
        </w:tc>
      </w:tr>
      <w:tr w:rsidR="00753D4E" w14:paraId="7F507A28" w14:textId="77777777" w:rsidTr="008053BA">
        <w:trPr>
          <w:jc w:val="center"/>
        </w:trPr>
        <w:tc>
          <w:tcPr>
            <w:tcW w:w="8041" w:type="dxa"/>
            <w:tcBorders>
              <w:left w:val="single" w:sz="12" w:space="0" w:color="auto"/>
              <w:right w:val="single" w:sz="12" w:space="0" w:color="auto"/>
            </w:tcBorders>
          </w:tcPr>
          <w:p w14:paraId="21524BAD" w14:textId="77777777" w:rsidR="00753D4E" w:rsidRPr="00BD2525" w:rsidRDefault="00753D4E" w:rsidP="007037E4">
            <w:r w:rsidRPr="01B6263E">
              <w:rPr>
                <w:rFonts w:ascii="Calibri" w:eastAsia="Calibri" w:hAnsi="Calibri" w:cs="Calibri"/>
              </w:rPr>
              <w:t>Comments, planned or ongoing activities regarding the implementation of the action</w:t>
            </w:r>
            <w:r>
              <w:rPr>
                <w:rStyle w:val="FootnoteReference"/>
                <w:rFonts w:ascii="Calibri" w:eastAsia="Calibri" w:hAnsi="Calibri" w:cs="Calibri"/>
              </w:rPr>
              <w:footnoteReference w:id="1"/>
            </w:r>
            <w:r w:rsidRPr="01B6263E">
              <w:rPr>
                <w:rFonts w:ascii="Calibri" w:eastAsia="Calibri" w:hAnsi="Calibri" w:cs="Calibri"/>
              </w:rPr>
              <w:t>:</w:t>
            </w:r>
          </w:p>
          <w:p w14:paraId="6D2DF427" w14:textId="77777777" w:rsidR="00753D4E" w:rsidRPr="00BD2525" w:rsidRDefault="00753D4E" w:rsidP="007037E4">
            <w:pPr>
              <w:spacing w:line="257" w:lineRule="auto"/>
            </w:pPr>
            <w:r w:rsidRPr="01B6263E">
              <w:rPr>
                <w:rFonts w:ascii="Calibri" w:eastAsia="Calibri" w:hAnsi="Calibri" w:cs="Calibri"/>
                <w:i/>
                <w:iCs/>
                <w:sz w:val="18"/>
                <w:szCs w:val="18"/>
              </w:rPr>
              <w:t>[Activities at the level of countries or organisations can be shared in this box. The activities could include national measures (e.g. reforms, initiatives, studies), the participation in EU-level activities, which are described in the explanatory document, and the engagement in transnational activities with other Member States, associated or third countries. Moreover, any other comments can be added.]</w:t>
            </w:r>
          </w:p>
          <w:p w14:paraId="16FC60E0" w14:textId="77777777" w:rsidR="00753D4E" w:rsidRPr="00BD2525" w:rsidRDefault="00753D4E" w:rsidP="007037E4"/>
          <w:p w14:paraId="6B1D29A5" w14:textId="77777777" w:rsidR="00753D4E" w:rsidRPr="00BD2525" w:rsidRDefault="00753D4E" w:rsidP="007037E4"/>
          <w:p w14:paraId="58D38897" w14:textId="77777777" w:rsidR="00753D4E" w:rsidRPr="00BD2525" w:rsidRDefault="00753D4E" w:rsidP="007037E4"/>
          <w:p w14:paraId="462BE731" w14:textId="77777777" w:rsidR="00753D4E" w:rsidRPr="00BD2525" w:rsidRDefault="00753D4E" w:rsidP="007037E4"/>
          <w:p w14:paraId="1D511094" w14:textId="77777777" w:rsidR="00753D4E" w:rsidRPr="00BD2525" w:rsidRDefault="00753D4E" w:rsidP="007037E4"/>
          <w:p w14:paraId="49F5C612" w14:textId="77777777" w:rsidR="00753D4E" w:rsidRPr="00BD2525" w:rsidRDefault="00753D4E" w:rsidP="007037E4"/>
          <w:p w14:paraId="74BC853D" w14:textId="77777777" w:rsidR="00753D4E" w:rsidRPr="00BD2525" w:rsidRDefault="00753D4E" w:rsidP="007037E4"/>
        </w:tc>
      </w:tr>
    </w:tbl>
    <w:p w14:paraId="33B0CFE1" w14:textId="03CDE388" w:rsidR="00753D4E" w:rsidRDefault="00753D4E" w:rsidP="00612C8D">
      <w:r>
        <w:br w:type="page"/>
      </w:r>
    </w:p>
    <w:p w14:paraId="799AF472" w14:textId="77777777" w:rsidR="00753D4E" w:rsidRPr="00B067DB" w:rsidRDefault="00753D4E" w:rsidP="00753D4E">
      <w:pPr>
        <w:pStyle w:val="Header"/>
        <w:ind w:left="-115"/>
        <w:jc w:val="center"/>
        <w:rPr>
          <w:i/>
        </w:rPr>
      </w:pPr>
      <w:r w:rsidRPr="00B067DB">
        <w:rPr>
          <w:i/>
        </w:rPr>
        <w:lastRenderedPageBreak/>
        <w:t>This document is a working document and should not be considered as representative of the European Commission’s official position.</w:t>
      </w:r>
    </w:p>
    <w:p w14:paraId="48A0AAB5" w14:textId="77777777" w:rsidR="00753D4E" w:rsidRPr="00B067DB" w:rsidRDefault="00753D4E" w:rsidP="00753D4E">
      <w:pPr>
        <w:jc w:val="center"/>
        <w:rPr>
          <w:i/>
        </w:rPr>
      </w:pPr>
    </w:p>
    <w:p w14:paraId="56C1ADCE" w14:textId="25B3FA12" w:rsidR="00753D4E" w:rsidRPr="007E3B29" w:rsidRDefault="00753D4E" w:rsidP="00753D4E">
      <w:pPr>
        <w:jc w:val="center"/>
        <w:rPr>
          <w:u w:val="single"/>
        </w:rPr>
      </w:pPr>
      <w:r w:rsidRPr="007E3B29">
        <w:rPr>
          <w:u w:val="single"/>
        </w:rPr>
        <w:t>EXPLANATORY DOCUMENT</w:t>
      </w:r>
      <w:r>
        <w:rPr>
          <w:u w:val="single"/>
        </w:rPr>
        <w:t>S</w:t>
      </w: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9"/>
        <w:gridCol w:w="6717"/>
      </w:tblGrid>
      <w:tr w:rsidR="00753D4E" w14:paraId="76C5D607" w14:textId="77777777" w:rsidTr="007037E4">
        <w:trPr>
          <w:trHeight w:val="508"/>
        </w:trPr>
        <w:tc>
          <w:tcPr>
            <w:tcW w:w="9466" w:type="dxa"/>
            <w:gridSpan w:val="2"/>
          </w:tcPr>
          <w:p w14:paraId="1FD62E95" w14:textId="77777777" w:rsidR="00753D4E" w:rsidRDefault="00753D4E" w:rsidP="007037E4">
            <w:pPr>
              <w:pStyle w:val="TableParagraph"/>
              <w:ind w:left="117"/>
              <w:rPr>
                <w:b/>
              </w:rPr>
            </w:pPr>
            <w:r>
              <w:rPr>
                <w:b/>
              </w:rPr>
              <w:t xml:space="preserve">Action 20.1: Support to the </w:t>
            </w:r>
            <w:proofErr w:type="spellStart"/>
            <w:r>
              <w:rPr>
                <w:b/>
              </w:rPr>
              <w:t>prioritisation</w:t>
            </w:r>
            <w:proofErr w:type="spellEnd"/>
            <w:r>
              <w:rPr>
                <w:b/>
              </w:rPr>
              <w:t xml:space="preserve">, coordination and direction of </w:t>
            </w:r>
            <w:proofErr w:type="spellStart"/>
            <w:r>
              <w:rPr>
                <w:b/>
              </w:rPr>
              <w:t>R&amp;I</w:t>
            </w:r>
            <w:proofErr w:type="spellEnd"/>
            <w:r>
              <w:rPr>
                <w:b/>
              </w:rPr>
              <w:t xml:space="preserve"> investments and reforms</w:t>
            </w:r>
          </w:p>
        </w:tc>
      </w:tr>
      <w:tr w:rsidR="00753D4E" w14:paraId="7F61B2ED" w14:textId="77777777" w:rsidTr="007037E4">
        <w:trPr>
          <w:trHeight w:val="508"/>
        </w:trPr>
        <w:tc>
          <w:tcPr>
            <w:tcW w:w="9466" w:type="dxa"/>
            <w:gridSpan w:val="2"/>
          </w:tcPr>
          <w:p w14:paraId="1EB0CAD3" w14:textId="77777777" w:rsidR="00753D4E" w:rsidRDefault="00753D4E" w:rsidP="007037E4">
            <w:pPr>
              <w:pStyle w:val="TableParagraph"/>
              <w:rPr>
                <w:i/>
                <w:iCs/>
              </w:rPr>
            </w:pPr>
            <w:r w:rsidRPr="4C346344">
              <w:rPr>
                <w:i/>
                <w:iCs/>
              </w:rPr>
              <w:t xml:space="preserve">Contact point: K. </w:t>
            </w:r>
            <w:proofErr w:type="spellStart"/>
            <w:r w:rsidRPr="4C346344">
              <w:rPr>
                <w:i/>
                <w:iCs/>
              </w:rPr>
              <w:t>Kania</w:t>
            </w:r>
            <w:proofErr w:type="spellEnd"/>
            <w:r w:rsidRPr="4C346344">
              <w:rPr>
                <w:i/>
                <w:iCs/>
              </w:rPr>
              <w:t xml:space="preserve"> unit </w:t>
            </w:r>
            <w:proofErr w:type="spellStart"/>
            <w:r w:rsidRPr="4C346344">
              <w:rPr>
                <w:i/>
                <w:iCs/>
              </w:rPr>
              <w:t>G1</w:t>
            </w:r>
            <w:proofErr w:type="spellEnd"/>
          </w:p>
        </w:tc>
      </w:tr>
      <w:tr w:rsidR="00753D4E" w14:paraId="0DB10285" w14:textId="77777777" w:rsidTr="007037E4">
        <w:trPr>
          <w:trHeight w:val="3048"/>
        </w:trPr>
        <w:tc>
          <w:tcPr>
            <w:tcW w:w="2749" w:type="dxa"/>
          </w:tcPr>
          <w:p w14:paraId="621A29BA" w14:textId="77777777" w:rsidR="00753D4E" w:rsidRDefault="00753D4E" w:rsidP="007037E4">
            <w:pPr>
              <w:pStyle w:val="TableParagraph"/>
              <w:spacing w:before="121"/>
              <w:ind w:left="467"/>
              <w:rPr>
                <w:b/>
              </w:rPr>
            </w:pPr>
            <w:r>
              <w:rPr>
                <w:b/>
              </w:rPr>
              <w:t>1. Description</w:t>
            </w:r>
          </w:p>
        </w:tc>
        <w:tc>
          <w:tcPr>
            <w:tcW w:w="6717" w:type="dxa"/>
          </w:tcPr>
          <w:p w14:paraId="20BFB9AF" w14:textId="77777777" w:rsidR="00753D4E" w:rsidRDefault="00753D4E" w:rsidP="007037E4">
            <w:pPr>
              <w:pStyle w:val="TableParagraph"/>
              <w:ind w:right="93"/>
              <w:jc w:val="both"/>
            </w:pPr>
            <w:r>
              <w:t xml:space="preserve">The Commission Communication of 30 September 2020 on “A new ERA for Research and Innovation” presents the proposal for a </w:t>
            </w:r>
            <w:proofErr w:type="spellStart"/>
            <w:r>
              <w:t>revitalised</w:t>
            </w:r>
            <w:proofErr w:type="spellEnd"/>
            <w:r>
              <w:t xml:space="preserve"> ERA with a forward-looking agenda based on a set of ambitious political objectives and R&amp;D investment targets. Those targets have either been endorsed or taken note of by the Council Conclusions of 1 December 2020, as well as the new ERA Pact and the related ERA Policy Agenda.</w:t>
            </w:r>
          </w:p>
          <w:p w14:paraId="764344BD" w14:textId="77777777" w:rsidR="00753D4E" w:rsidRDefault="00753D4E" w:rsidP="007037E4">
            <w:pPr>
              <w:pStyle w:val="TableParagraph"/>
              <w:spacing w:before="121"/>
              <w:ind w:right="95"/>
              <w:jc w:val="both"/>
            </w:pPr>
            <w:r>
              <w:t xml:space="preserve">The main objective of this activity is to build evidence and foster debates strengthening the transformative </w:t>
            </w:r>
            <w:proofErr w:type="spellStart"/>
            <w:r>
              <w:t>R&amp;I</w:t>
            </w:r>
            <w:proofErr w:type="spellEnd"/>
            <w:r>
              <w:t xml:space="preserve"> policy. It also aims at </w:t>
            </w:r>
            <w:proofErr w:type="spellStart"/>
            <w:r>
              <w:t>maximising</w:t>
            </w:r>
            <w:proofErr w:type="spellEnd"/>
            <w:r>
              <w:t xml:space="preserve"> the impact of R&amp;D investments directed to the green and digital transitions as well as the future economic</w:t>
            </w:r>
            <w:r>
              <w:rPr>
                <w:spacing w:val="-16"/>
              </w:rPr>
              <w:t xml:space="preserve"> </w:t>
            </w:r>
            <w:r>
              <w:t>recovery.</w:t>
            </w:r>
          </w:p>
        </w:tc>
      </w:tr>
      <w:tr w:rsidR="00753D4E" w14:paraId="1B22440D" w14:textId="77777777" w:rsidTr="007037E4">
        <w:trPr>
          <w:trHeight w:val="1581"/>
        </w:trPr>
        <w:tc>
          <w:tcPr>
            <w:tcW w:w="2749" w:type="dxa"/>
          </w:tcPr>
          <w:p w14:paraId="5ABA6588" w14:textId="77777777" w:rsidR="00753D4E" w:rsidRDefault="00753D4E" w:rsidP="007037E4">
            <w:pPr>
              <w:pStyle w:val="TableParagraph"/>
              <w:ind w:left="467"/>
              <w:rPr>
                <w:b/>
              </w:rPr>
            </w:pPr>
            <w:r>
              <w:rPr>
                <w:b/>
              </w:rPr>
              <w:t>2. Actors</w:t>
            </w:r>
          </w:p>
        </w:tc>
        <w:tc>
          <w:tcPr>
            <w:tcW w:w="6717" w:type="dxa"/>
          </w:tcPr>
          <w:p w14:paraId="3BD5FB9B" w14:textId="77777777" w:rsidR="00753D4E" w:rsidRDefault="00753D4E" w:rsidP="007037E4">
            <w:pPr>
              <w:pStyle w:val="TableParagraph"/>
              <w:ind w:right="94"/>
              <w:jc w:val="both"/>
            </w:pPr>
            <w:r>
              <w:t>The European Commission and the Member States, as well as associated countries, if and when relevant.</w:t>
            </w:r>
          </w:p>
        </w:tc>
      </w:tr>
      <w:tr w:rsidR="00753D4E" w14:paraId="187178D0" w14:textId="77777777" w:rsidTr="007037E4">
        <w:trPr>
          <w:trHeight w:val="777"/>
        </w:trPr>
        <w:tc>
          <w:tcPr>
            <w:tcW w:w="2749" w:type="dxa"/>
          </w:tcPr>
          <w:p w14:paraId="0C9958EE" w14:textId="77777777" w:rsidR="00753D4E" w:rsidRDefault="00753D4E" w:rsidP="007037E4">
            <w:pPr>
              <w:pStyle w:val="TableParagraph"/>
              <w:ind w:left="827" w:right="895" w:hanging="360"/>
              <w:rPr>
                <w:b/>
              </w:rPr>
            </w:pPr>
            <w:r>
              <w:rPr>
                <w:b/>
              </w:rPr>
              <w:t>3. Timing and milestones</w:t>
            </w:r>
          </w:p>
        </w:tc>
        <w:tc>
          <w:tcPr>
            <w:tcW w:w="6717" w:type="dxa"/>
          </w:tcPr>
          <w:p w14:paraId="71F54A65" w14:textId="77777777" w:rsidR="00753D4E" w:rsidRDefault="00753D4E" w:rsidP="007037E4">
            <w:pPr>
              <w:pStyle w:val="TableParagraph"/>
              <w:jc w:val="both"/>
            </w:pPr>
            <w:r>
              <w:t>During the period 2022-24 the action will:</w:t>
            </w:r>
          </w:p>
          <w:p w14:paraId="6A33FDC6" w14:textId="77777777" w:rsidR="00753D4E" w:rsidRDefault="00753D4E" w:rsidP="00753D4E">
            <w:pPr>
              <w:pStyle w:val="TableParagraph"/>
              <w:numPr>
                <w:ilvl w:val="0"/>
                <w:numId w:val="13"/>
              </w:numPr>
              <w:jc w:val="both"/>
            </w:pPr>
            <w:r>
              <w:t>develop and promote the adoption of a policy and investment approach by the MS (second half of 2022)</w:t>
            </w:r>
          </w:p>
          <w:p w14:paraId="679B8326" w14:textId="77777777" w:rsidR="00753D4E" w:rsidRDefault="00753D4E" w:rsidP="00753D4E">
            <w:pPr>
              <w:pStyle w:val="TableParagraph"/>
              <w:numPr>
                <w:ilvl w:val="0"/>
                <w:numId w:val="13"/>
              </w:numPr>
              <w:jc w:val="both"/>
            </w:pPr>
            <w:r>
              <w:t xml:space="preserve">carry out a series of bilateral and multilateral policy dialogues in order to support interested Member States in </w:t>
            </w:r>
            <w:proofErr w:type="spellStart"/>
            <w:r>
              <w:t>prioritising</w:t>
            </w:r>
            <w:proofErr w:type="spellEnd"/>
            <w:r>
              <w:t xml:space="preserve"> </w:t>
            </w:r>
            <w:proofErr w:type="spellStart"/>
            <w:r>
              <w:t>R&amp;I</w:t>
            </w:r>
            <w:proofErr w:type="spellEnd"/>
            <w:r>
              <w:t xml:space="preserve"> investment (during the first half of the year 2023)</w:t>
            </w:r>
          </w:p>
          <w:p w14:paraId="54032A10" w14:textId="77777777" w:rsidR="00753D4E" w:rsidRDefault="00753D4E" w:rsidP="00753D4E">
            <w:pPr>
              <w:pStyle w:val="TableParagraph"/>
              <w:numPr>
                <w:ilvl w:val="0"/>
                <w:numId w:val="13"/>
              </w:numPr>
              <w:jc w:val="both"/>
            </w:pPr>
            <w:r>
              <w:t>Establish a number of investment targets in the second half of 2023</w:t>
            </w:r>
          </w:p>
        </w:tc>
      </w:tr>
      <w:tr w:rsidR="00753D4E" w14:paraId="626613A5" w14:textId="77777777" w:rsidTr="007037E4">
        <w:trPr>
          <w:trHeight w:val="508"/>
        </w:trPr>
        <w:tc>
          <w:tcPr>
            <w:tcW w:w="2749" w:type="dxa"/>
          </w:tcPr>
          <w:p w14:paraId="54348499" w14:textId="77777777" w:rsidR="00753D4E" w:rsidRDefault="00753D4E" w:rsidP="007037E4">
            <w:pPr>
              <w:pStyle w:val="TableParagraph"/>
              <w:ind w:left="467"/>
              <w:rPr>
                <w:b/>
              </w:rPr>
            </w:pPr>
            <w:r>
              <w:rPr>
                <w:b/>
              </w:rPr>
              <w:t>4. Funding</w:t>
            </w:r>
          </w:p>
        </w:tc>
        <w:tc>
          <w:tcPr>
            <w:tcW w:w="6717" w:type="dxa"/>
          </w:tcPr>
          <w:p w14:paraId="7DCFD4E5" w14:textId="77777777" w:rsidR="00753D4E" w:rsidRDefault="00753D4E" w:rsidP="007037E4">
            <w:pPr>
              <w:pStyle w:val="TableParagraph"/>
              <w:jc w:val="both"/>
            </w:pPr>
            <w:r>
              <w:t>Possibility to use the financing from the Policy Support Facility (</w:t>
            </w:r>
            <w:proofErr w:type="spellStart"/>
            <w:r>
              <w:t>PSF</w:t>
            </w:r>
            <w:proofErr w:type="spellEnd"/>
            <w:r>
              <w:t xml:space="preserve">) under Horizon Europe Programme. </w:t>
            </w:r>
          </w:p>
          <w:p w14:paraId="292743F0" w14:textId="77777777" w:rsidR="00753D4E" w:rsidRDefault="00753D4E" w:rsidP="007037E4">
            <w:pPr>
              <w:pStyle w:val="TableParagraph"/>
              <w:jc w:val="both"/>
            </w:pPr>
            <w:proofErr w:type="spellStart"/>
            <w:r>
              <w:t>PSF</w:t>
            </w:r>
            <w:proofErr w:type="spellEnd"/>
            <w:r>
              <w:t xml:space="preserve"> Challenge: if this modality is chosen, the activities will facilitate the flow of information, experiences, lessons learned and the identification of best practices. It will notably support the “traditional” mutual learning exercises (</w:t>
            </w:r>
            <w:proofErr w:type="spellStart"/>
            <w:r>
              <w:t>MLE</w:t>
            </w:r>
            <w:proofErr w:type="spellEnd"/>
            <w:r>
              <w:t>) with higher flexibility</w:t>
            </w:r>
          </w:p>
        </w:tc>
      </w:tr>
      <w:tr w:rsidR="00753D4E" w14:paraId="49FEC030" w14:textId="77777777" w:rsidTr="007037E4">
        <w:trPr>
          <w:trHeight w:val="6360"/>
        </w:trPr>
        <w:tc>
          <w:tcPr>
            <w:tcW w:w="2749" w:type="dxa"/>
          </w:tcPr>
          <w:p w14:paraId="010C8965" w14:textId="77777777" w:rsidR="00753D4E" w:rsidRDefault="00753D4E" w:rsidP="007037E4">
            <w:pPr>
              <w:pStyle w:val="TableParagraph"/>
              <w:ind w:left="467"/>
              <w:rPr>
                <w:b/>
              </w:rPr>
            </w:pPr>
            <w:r>
              <w:rPr>
                <w:b/>
              </w:rPr>
              <w:lastRenderedPageBreak/>
              <w:t>5. Expected impact</w:t>
            </w:r>
          </w:p>
        </w:tc>
        <w:tc>
          <w:tcPr>
            <w:tcW w:w="6717" w:type="dxa"/>
          </w:tcPr>
          <w:p w14:paraId="58FFA31C" w14:textId="77777777" w:rsidR="00753D4E" w:rsidRDefault="00753D4E" w:rsidP="007037E4">
            <w:pPr>
              <w:pStyle w:val="TableParagraph"/>
              <w:spacing w:before="121"/>
              <w:ind w:right="93"/>
              <w:jc w:val="both"/>
            </w:pPr>
            <w:r>
              <w:t>In order to implement this process, the action will:</w:t>
            </w:r>
          </w:p>
          <w:p w14:paraId="62214495" w14:textId="77777777" w:rsidR="00753D4E" w:rsidRDefault="00753D4E" w:rsidP="00753D4E">
            <w:pPr>
              <w:pStyle w:val="TableParagraph"/>
              <w:numPr>
                <w:ilvl w:val="0"/>
                <w:numId w:val="12"/>
              </w:numPr>
              <w:tabs>
                <w:tab w:val="left" w:pos="827"/>
                <w:tab w:val="left" w:pos="828"/>
              </w:tabs>
              <w:spacing w:before="120"/>
              <w:ind w:right="93" w:firstLine="0"/>
              <w:jc w:val="both"/>
            </w:pPr>
            <w:r>
              <w:t xml:space="preserve">Provide new knowledge and evidence on the R&amp;D investment targets and the need for directionality, duly considering existing capacities in </w:t>
            </w:r>
            <w:proofErr w:type="spellStart"/>
            <w:r>
              <w:t>R&amp;I</w:t>
            </w:r>
            <w:proofErr w:type="spellEnd"/>
            <w:r>
              <w:t xml:space="preserve"> areas, domains and technologies. The action will provide solid analytical work and targeted analyses for each Member State, including through a dedicated study under </w:t>
            </w:r>
            <w:proofErr w:type="spellStart"/>
            <w:r>
              <w:t>PSF</w:t>
            </w:r>
            <w:proofErr w:type="spellEnd"/>
            <w:r>
              <w:t xml:space="preserve"> </w:t>
            </w:r>
            <w:proofErr w:type="spellStart"/>
            <w:r>
              <w:t>Challange</w:t>
            </w:r>
            <w:proofErr w:type="spellEnd"/>
            <w:r>
              <w:t>, which will fully underpin this process.</w:t>
            </w:r>
          </w:p>
          <w:p w14:paraId="31510483" w14:textId="77777777" w:rsidR="00753D4E" w:rsidRDefault="00753D4E" w:rsidP="00753D4E">
            <w:pPr>
              <w:pStyle w:val="TableParagraph"/>
              <w:numPr>
                <w:ilvl w:val="0"/>
                <w:numId w:val="12"/>
              </w:numPr>
              <w:tabs>
                <w:tab w:val="left" w:pos="827"/>
                <w:tab w:val="left" w:pos="828"/>
              </w:tabs>
              <w:ind w:right="96" w:firstLine="0"/>
              <w:jc w:val="both"/>
            </w:pPr>
            <w:r>
              <w:t xml:space="preserve">Contribute to the </w:t>
            </w:r>
            <w:proofErr w:type="spellStart"/>
            <w:r>
              <w:t>organisation</w:t>
            </w:r>
            <w:proofErr w:type="spellEnd"/>
            <w:r>
              <w:t xml:space="preserve"> of joint policy and technical discussions with Member States, experts and stakeholders to reflect on the targets and commonly agree on their specificities as well as on the process and methodology for their roll out at national level. It will be carried out through the ERA Forum, providing them with strategic</w:t>
            </w:r>
            <w:r>
              <w:rPr>
                <w:spacing w:val="-9"/>
              </w:rPr>
              <w:t xml:space="preserve"> </w:t>
            </w:r>
            <w:r>
              <w:t>advice.</w:t>
            </w:r>
          </w:p>
          <w:p w14:paraId="0C26DD26" w14:textId="77777777" w:rsidR="00753D4E" w:rsidRDefault="00753D4E" w:rsidP="00753D4E">
            <w:pPr>
              <w:pStyle w:val="TableParagraph"/>
              <w:numPr>
                <w:ilvl w:val="0"/>
                <w:numId w:val="12"/>
              </w:numPr>
              <w:tabs>
                <w:tab w:val="left" w:pos="827"/>
                <w:tab w:val="left" w:pos="828"/>
              </w:tabs>
              <w:spacing w:before="122"/>
              <w:ind w:right="92" w:firstLine="0"/>
              <w:jc w:val="both"/>
            </w:pPr>
            <w:r>
              <w:t>Frame the setting up of bilateral debates with Member States, in conjunction with Action 18, to voluntarily translate the targets in the national contexts, with the help notably of the future ERA Scoreboard. This action will provide quantitative information, including from joint work and cooperation with Eurostat as well as the OECD.</w:t>
            </w:r>
            <w:r>
              <w:rPr>
                <w:spacing w:val="42"/>
              </w:rPr>
              <w:t xml:space="preserve"> </w:t>
            </w:r>
            <w:r>
              <w:t>.</w:t>
            </w:r>
          </w:p>
        </w:tc>
      </w:tr>
    </w:tbl>
    <w:p w14:paraId="0C9E8ECF" w14:textId="163CC8E9" w:rsidR="00612C8D" w:rsidRDefault="00612C8D" w:rsidP="00612C8D"/>
    <w:p w14:paraId="34F44CDD" w14:textId="430AE906" w:rsidR="00753D4E" w:rsidRDefault="00753D4E" w:rsidP="00612C8D"/>
    <w:tbl>
      <w:tblPr>
        <w:tblStyle w:val="TableGrid"/>
        <w:tblW w:w="9493" w:type="dxa"/>
        <w:tblLook w:val="04A0" w:firstRow="1" w:lastRow="0" w:firstColumn="1" w:lastColumn="0" w:noHBand="0" w:noVBand="1"/>
      </w:tblPr>
      <w:tblGrid>
        <w:gridCol w:w="2972"/>
        <w:gridCol w:w="6521"/>
      </w:tblGrid>
      <w:tr w:rsidR="00753D4E" w14:paraId="159C7AF8" w14:textId="77777777" w:rsidTr="00753D4E">
        <w:tc>
          <w:tcPr>
            <w:tcW w:w="9493" w:type="dxa"/>
            <w:gridSpan w:val="2"/>
          </w:tcPr>
          <w:p w14:paraId="08AAA584" w14:textId="0D48D23E" w:rsidR="00753D4E" w:rsidRPr="005A2F61" w:rsidRDefault="00753D4E" w:rsidP="007037E4">
            <w:pPr>
              <w:spacing w:before="120" w:after="120"/>
              <w:jc w:val="center"/>
              <w:rPr>
                <w:i/>
                <w:iCs/>
              </w:rPr>
            </w:pPr>
            <w:r w:rsidRPr="69447DA3">
              <w:rPr>
                <w:i/>
                <w:iCs/>
              </w:rPr>
              <w:t>Action 20</w:t>
            </w:r>
            <w:r>
              <w:rPr>
                <w:i/>
                <w:iCs/>
              </w:rPr>
              <w:t>.2:</w:t>
            </w:r>
            <w:r w:rsidRPr="69447DA3">
              <w:rPr>
                <w:i/>
                <w:iCs/>
              </w:rPr>
              <w:t xml:space="preserve"> Support to the </w:t>
            </w:r>
            <w:r>
              <w:rPr>
                <w:i/>
                <w:iCs/>
              </w:rPr>
              <w:t>implementation and monitoring of the ERA policy agenda in view of stronger investments and reforms</w:t>
            </w:r>
            <w:r w:rsidRPr="69447DA3">
              <w:rPr>
                <w:i/>
                <w:iCs/>
              </w:rPr>
              <w:t xml:space="preserve">  </w:t>
            </w:r>
          </w:p>
        </w:tc>
      </w:tr>
      <w:tr w:rsidR="00753D4E" w14:paraId="67212407" w14:textId="77777777" w:rsidTr="00753D4E">
        <w:tc>
          <w:tcPr>
            <w:tcW w:w="9493" w:type="dxa"/>
            <w:gridSpan w:val="2"/>
          </w:tcPr>
          <w:p w14:paraId="2F26308B" w14:textId="77777777" w:rsidR="00753D4E" w:rsidRDefault="00753D4E" w:rsidP="007037E4">
            <w:pPr>
              <w:spacing w:before="120" w:after="120"/>
              <w:rPr>
                <w:i/>
                <w:iCs/>
              </w:rPr>
            </w:pPr>
            <w:r w:rsidRPr="69447DA3">
              <w:rPr>
                <w:i/>
                <w:iCs/>
              </w:rPr>
              <w:t xml:space="preserve">Contact point: </w:t>
            </w:r>
            <w:r>
              <w:rPr>
                <w:i/>
                <w:iCs/>
              </w:rPr>
              <w:t>B.</w:t>
            </w:r>
            <w:r w:rsidRPr="69447DA3">
              <w:rPr>
                <w:i/>
                <w:iCs/>
              </w:rPr>
              <w:t xml:space="preserve"> Bilbao Osorio unit A1</w:t>
            </w:r>
          </w:p>
        </w:tc>
      </w:tr>
      <w:tr w:rsidR="00753D4E" w14:paraId="3D0FD2C4" w14:textId="77777777" w:rsidTr="00753D4E">
        <w:tc>
          <w:tcPr>
            <w:tcW w:w="2972" w:type="dxa"/>
          </w:tcPr>
          <w:p w14:paraId="7D701115" w14:textId="77777777" w:rsidR="00753D4E" w:rsidRPr="005A2F61" w:rsidRDefault="00753D4E" w:rsidP="00753D4E">
            <w:pPr>
              <w:pStyle w:val="ListParagraph"/>
              <w:numPr>
                <w:ilvl w:val="0"/>
                <w:numId w:val="14"/>
              </w:numPr>
              <w:spacing w:before="120" w:after="120"/>
              <w:rPr>
                <w:b/>
              </w:rPr>
            </w:pPr>
            <w:r w:rsidRPr="005A2F61">
              <w:rPr>
                <w:b/>
              </w:rPr>
              <w:t>Description</w:t>
            </w:r>
          </w:p>
        </w:tc>
        <w:tc>
          <w:tcPr>
            <w:tcW w:w="6521" w:type="dxa"/>
          </w:tcPr>
          <w:p w14:paraId="4F4C4C16" w14:textId="77777777" w:rsidR="00753D4E" w:rsidRPr="00EC09FD" w:rsidRDefault="00753D4E" w:rsidP="007037E4">
            <w:pPr>
              <w:spacing w:before="120" w:after="120"/>
              <w:jc w:val="both"/>
            </w:pPr>
            <w:r>
              <w:rPr>
                <w:rFonts w:ascii="Calibri" w:eastAsia="Calibri" w:hAnsi="Calibri" w:cs="Calibri"/>
              </w:rPr>
              <w:t>This action will support Member States in (1) making use of existing technical support tools and information and (2) engaging in peer policy learning during the implementation of the different items of the policy agenda. In doing so, this action will be framed in the context of setting up an enhanced bilateral dialogue between the Commission and individual Member States that will help in defining a process for monitoring the implementation of ERA (currently part of action 19 in the policy agenda)</w:t>
            </w:r>
          </w:p>
        </w:tc>
      </w:tr>
      <w:tr w:rsidR="00753D4E" w14:paraId="7ED83A95" w14:textId="77777777" w:rsidTr="00753D4E">
        <w:tc>
          <w:tcPr>
            <w:tcW w:w="2972" w:type="dxa"/>
          </w:tcPr>
          <w:p w14:paraId="23157CD3" w14:textId="77777777" w:rsidR="00753D4E" w:rsidRPr="005A2F61" w:rsidRDefault="00753D4E" w:rsidP="00753D4E">
            <w:pPr>
              <w:pStyle w:val="ListParagraph"/>
              <w:numPr>
                <w:ilvl w:val="0"/>
                <w:numId w:val="14"/>
              </w:numPr>
              <w:spacing w:before="120" w:after="120"/>
              <w:rPr>
                <w:b/>
              </w:rPr>
            </w:pPr>
            <w:r w:rsidRPr="005A2F61">
              <w:rPr>
                <w:b/>
              </w:rPr>
              <w:t>Actors</w:t>
            </w:r>
          </w:p>
        </w:tc>
        <w:tc>
          <w:tcPr>
            <w:tcW w:w="6521" w:type="dxa"/>
          </w:tcPr>
          <w:p w14:paraId="0A627968" w14:textId="77777777" w:rsidR="00753D4E" w:rsidRPr="00EC09FD" w:rsidRDefault="00753D4E" w:rsidP="007037E4">
            <w:pPr>
              <w:spacing w:before="120" w:after="120"/>
              <w:jc w:val="both"/>
            </w:pPr>
            <w:r>
              <w:t>The Commission,</w:t>
            </w:r>
            <w:r w:rsidRPr="00EC09FD">
              <w:rPr>
                <w:rFonts w:ascii="Calibri" w:eastAsia="Calibri" w:hAnsi="Calibri" w:cs="Calibri"/>
              </w:rPr>
              <w:t xml:space="preserve"> through bilateral policy dialogues</w:t>
            </w:r>
            <w:r>
              <w:rPr>
                <w:rFonts w:ascii="Calibri" w:eastAsia="Calibri" w:hAnsi="Calibri" w:cs="Calibri"/>
              </w:rPr>
              <w:t xml:space="preserve"> with Member States and the participation of relevant stakeholders,</w:t>
            </w:r>
            <w:r w:rsidRPr="00EC09FD">
              <w:rPr>
                <w:rFonts w:ascii="Calibri" w:eastAsia="Calibri" w:hAnsi="Calibri" w:cs="Calibri"/>
              </w:rPr>
              <w:t xml:space="preserve"> </w:t>
            </w:r>
            <w:r>
              <w:rPr>
                <w:rFonts w:ascii="Calibri" w:eastAsia="Calibri" w:hAnsi="Calibri" w:cs="Calibri"/>
              </w:rPr>
              <w:t xml:space="preserve">will </w:t>
            </w:r>
            <w:r w:rsidRPr="00EC09FD">
              <w:rPr>
                <w:rFonts w:ascii="Calibri" w:eastAsia="Calibri" w:hAnsi="Calibri" w:cs="Calibri"/>
              </w:rPr>
              <w:t xml:space="preserve">support interested Member States in </w:t>
            </w:r>
            <w:r>
              <w:rPr>
                <w:rFonts w:ascii="Calibri" w:eastAsia="Calibri" w:hAnsi="Calibri" w:cs="Calibri"/>
              </w:rPr>
              <w:t xml:space="preserve">specific ERA policy areas in order to </w:t>
            </w:r>
            <w:r w:rsidRPr="00EC09FD">
              <w:rPr>
                <w:rFonts w:ascii="Calibri" w:eastAsia="Calibri" w:hAnsi="Calibri" w:cs="Calibri"/>
              </w:rPr>
              <w:t>prioritis</w:t>
            </w:r>
            <w:r>
              <w:rPr>
                <w:rFonts w:ascii="Calibri" w:eastAsia="Calibri" w:hAnsi="Calibri" w:cs="Calibri"/>
              </w:rPr>
              <w:t xml:space="preserve">e </w:t>
            </w:r>
            <w:proofErr w:type="spellStart"/>
            <w:r w:rsidRPr="00EC09FD">
              <w:rPr>
                <w:rFonts w:ascii="Calibri" w:eastAsia="Calibri" w:hAnsi="Calibri" w:cs="Calibri"/>
              </w:rPr>
              <w:t>R&amp;I</w:t>
            </w:r>
            <w:proofErr w:type="spellEnd"/>
            <w:r w:rsidRPr="00EC09FD">
              <w:rPr>
                <w:rFonts w:ascii="Calibri" w:eastAsia="Calibri" w:hAnsi="Calibri" w:cs="Calibri"/>
              </w:rPr>
              <w:t xml:space="preserve"> investment, including synergies between EU and national programmes</w:t>
            </w:r>
            <w:r>
              <w:rPr>
                <w:rFonts w:ascii="Calibri" w:eastAsia="Calibri" w:hAnsi="Calibri" w:cs="Calibri"/>
              </w:rPr>
              <w:t>,</w:t>
            </w:r>
            <w:r w:rsidRPr="00EC09FD">
              <w:rPr>
                <w:rFonts w:ascii="Calibri" w:eastAsia="Calibri" w:hAnsi="Calibri" w:cs="Calibri"/>
              </w:rPr>
              <w:t xml:space="preserve"> and </w:t>
            </w:r>
            <w:r>
              <w:rPr>
                <w:rFonts w:ascii="Calibri" w:eastAsia="Calibri" w:hAnsi="Calibri" w:cs="Calibri"/>
              </w:rPr>
              <w:t xml:space="preserve">design and implement relevant </w:t>
            </w:r>
            <w:proofErr w:type="spellStart"/>
            <w:r>
              <w:rPr>
                <w:rFonts w:ascii="Calibri" w:eastAsia="Calibri" w:hAnsi="Calibri" w:cs="Calibri"/>
              </w:rPr>
              <w:t>R&amp;I-related</w:t>
            </w:r>
            <w:proofErr w:type="spellEnd"/>
            <w:r w:rsidRPr="00EC09FD">
              <w:rPr>
                <w:rFonts w:ascii="Calibri" w:eastAsia="Calibri" w:hAnsi="Calibri" w:cs="Calibri"/>
              </w:rPr>
              <w:t xml:space="preserve"> reforms</w:t>
            </w:r>
            <w:r>
              <w:rPr>
                <w:rFonts w:ascii="Calibri" w:eastAsia="Calibri" w:hAnsi="Calibri" w:cs="Calibri"/>
              </w:rPr>
              <w:t>.</w:t>
            </w:r>
          </w:p>
        </w:tc>
      </w:tr>
      <w:tr w:rsidR="00753D4E" w14:paraId="72A8E163" w14:textId="77777777" w:rsidTr="00753D4E">
        <w:tc>
          <w:tcPr>
            <w:tcW w:w="2972" w:type="dxa"/>
          </w:tcPr>
          <w:p w14:paraId="484C61FC" w14:textId="77777777" w:rsidR="00753D4E" w:rsidRPr="005A2F61" w:rsidRDefault="00753D4E" w:rsidP="00753D4E">
            <w:pPr>
              <w:pStyle w:val="ListParagraph"/>
              <w:numPr>
                <w:ilvl w:val="0"/>
                <w:numId w:val="14"/>
              </w:numPr>
              <w:spacing w:before="120" w:after="120"/>
              <w:rPr>
                <w:b/>
              </w:rPr>
            </w:pPr>
            <w:r w:rsidRPr="005A2F61">
              <w:rPr>
                <w:b/>
              </w:rPr>
              <w:t>Timing</w:t>
            </w:r>
            <w:r>
              <w:rPr>
                <w:b/>
              </w:rPr>
              <w:t xml:space="preserve"> and milestones</w:t>
            </w:r>
          </w:p>
        </w:tc>
        <w:tc>
          <w:tcPr>
            <w:tcW w:w="6521" w:type="dxa"/>
          </w:tcPr>
          <w:p w14:paraId="3557E421" w14:textId="77777777" w:rsidR="00753D4E" w:rsidRDefault="00753D4E" w:rsidP="007037E4">
            <w:pPr>
              <w:spacing w:before="120" w:after="120"/>
            </w:pPr>
            <w:r>
              <w:t xml:space="preserve">During the period </w:t>
            </w:r>
            <w:r w:rsidRPr="00EC09FD">
              <w:t>2022-24</w:t>
            </w:r>
            <w:r>
              <w:t xml:space="preserve">. Ongoing activity. </w:t>
            </w:r>
          </w:p>
          <w:p w14:paraId="07D788D4" w14:textId="77777777" w:rsidR="00753D4E" w:rsidRPr="00EC09FD" w:rsidRDefault="00753D4E" w:rsidP="007037E4">
            <w:pPr>
              <w:spacing w:before="120" w:after="120"/>
            </w:pPr>
            <w:r>
              <w:t>Support based on request</w:t>
            </w:r>
          </w:p>
        </w:tc>
      </w:tr>
      <w:tr w:rsidR="00753D4E" w14:paraId="1A4F903D" w14:textId="77777777" w:rsidTr="00753D4E">
        <w:tc>
          <w:tcPr>
            <w:tcW w:w="2972" w:type="dxa"/>
          </w:tcPr>
          <w:p w14:paraId="53DB91E4" w14:textId="77777777" w:rsidR="00753D4E" w:rsidRPr="005A2F61" w:rsidRDefault="00753D4E" w:rsidP="00753D4E">
            <w:pPr>
              <w:pStyle w:val="ListParagraph"/>
              <w:numPr>
                <w:ilvl w:val="0"/>
                <w:numId w:val="14"/>
              </w:numPr>
              <w:spacing w:before="120" w:after="120"/>
              <w:rPr>
                <w:b/>
              </w:rPr>
            </w:pPr>
            <w:r w:rsidRPr="005A2F61">
              <w:rPr>
                <w:b/>
              </w:rPr>
              <w:lastRenderedPageBreak/>
              <w:t>Funding</w:t>
            </w:r>
          </w:p>
        </w:tc>
        <w:tc>
          <w:tcPr>
            <w:tcW w:w="6521" w:type="dxa"/>
          </w:tcPr>
          <w:p w14:paraId="2978CCA5" w14:textId="77777777" w:rsidR="00753D4E" w:rsidRPr="00EC09FD" w:rsidRDefault="00753D4E" w:rsidP="007037E4">
            <w:pPr>
              <w:spacing w:before="120" w:after="120"/>
            </w:pPr>
            <w:r>
              <w:t>Many of the proposed activities under this action will not require any specific funding. However, for the technical and expert support, the Policy Support Facility (</w:t>
            </w:r>
            <w:proofErr w:type="spellStart"/>
            <w:r>
              <w:t>PSF</w:t>
            </w:r>
            <w:proofErr w:type="spellEnd"/>
            <w:r>
              <w:t xml:space="preserve">) under Horizon Europe Programme will be mobilised as required. </w:t>
            </w:r>
          </w:p>
        </w:tc>
      </w:tr>
      <w:tr w:rsidR="00753D4E" w14:paraId="70680524" w14:textId="77777777" w:rsidTr="00753D4E">
        <w:tc>
          <w:tcPr>
            <w:tcW w:w="2972" w:type="dxa"/>
          </w:tcPr>
          <w:p w14:paraId="795D33C5" w14:textId="77777777" w:rsidR="00753D4E" w:rsidRPr="005A2F61" w:rsidRDefault="00753D4E" w:rsidP="00753D4E">
            <w:pPr>
              <w:pStyle w:val="ListParagraph"/>
              <w:numPr>
                <w:ilvl w:val="0"/>
                <w:numId w:val="14"/>
              </w:numPr>
              <w:spacing w:before="120" w:after="120"/>
              <w:rPr>
                <w:b/>
              </w:rPr>
            </w:pPr>
            <w:r w:rsidRPr="005A2F61">
              <w:rPr>
                <w:b/>
              </w:rPr>
              <w:t>Expected impact</w:t>
            </w:r>
          </w:p>
        </w:tc>
        <w:tc>
          <w:tcPr>
            <w:tcW w:w="6521" w:type="dxa"/>
          </w:tcPr>
          <w:p w14:paraId="079814F1" w14:textId="77777777" w:rsidR="00753D4E" w:rsidRPr="00EC09FD" w:rsidRDefault="00753D4E" w:rsidP="007037E4">
            <w:pPr>
              <w:spacing w:before="120" w:after="120"/>
              <w:jc w:val="both"/>
            </w:pPr>
            <w:r>
              <w:t xml:space="preserve">The proposed enhanced dialogue and potential technical assistance through the Policy Support Facility will help with the implementation and policy learning, notably in the area of promoting investments and reforms. This will help strengthen the national </w:t>
            </w:r>
            <w:proofErr w:type="spellStart"/>
            <w:r>
              <w:t>R&amp;I</w:t>
            </w:r>
            <w:proofErr w:type="spellEnd"/>
            <w:r>
              <w:t xml:space="preserve"> systems.</w:t>
            </w:r>
          </w:p>
        </w:tc>
      </w:tr>
      <w:tr w:rsidR="00753D4E" w14:paraId="463B717E" w14:textId="77777777" w:rsidTr="00753D4E">
        <w:tc>
          <w:tcPr>
            <w:tcW w:w="2972" w:type="dxa"/>
          </w:tcPr>
          <w:p w14:paraId="619A1AA1" w14:textId="77777777" w:rsidR="00753D4E" w:rsidRPr="005A2F61" w:rsidRDefault="00753D4E" w:rsidP="00753D4E">
            <w:pPr>
              <w:pStyle w:val="ListParagraph"/>
              <w:numPr>
                <w:ilvl w:val="0"/>
                <w:numId w:val="14"/>
              </w:numPr>
              <w:spacing w:before="120" w:after="120"/>
              <w:rPr>
                <w:b/>
              </w:rPr>
            </w:pPr>
            <w:r w:rsidRPr="005A2F61">
              <w:rPr>
                <w:b/>
              </w:rPr>
              <w:t xml:space="preserve">Monitoring </w:t>
            </w:r>
          </w:p>
        </w:tc>
        <w:tc>
          <w:tcPr>
            <w:tcW w:w="6521" w:type="dxa"/>
          </w:tcPr>
          <w:p w14:paraId="6FFC89B2" w14:textId="77777777" w:rsidR="00753D4E" w:rsidRPr="00EC09FD" w:rsidRDefault="00753D4E" w:rsidP="007037E4">
            <w:pPr>
              <w:spacing w:before="120" w:after="120"/>
            </w:pPr>
            <w:r>
              <w:t>ERA Forum</w:t>
            </w:r>
          </w:p>
        </w:tc>
      </w:tr>
      <w:tr w:rsidR="00753D4E" w14:paraId="345527DB" w14:textId="77777777" w:rsidTr="00753D4E">
        <w:tc>
          <w:tcPr>
            <w:tcW w:w="2972" w:type="dxa"/>
          </w:tcPr>
          <w:p w14:paraId="717DC41D" w14:textId="77777777" w:rsidR="00753D4E" w:rsidRPr="005A2F61" w:rsidRDefault="00753D4E" w:rsidP="00753D4E">
            <w:pPr>
              <w:pStyle w:val="ListParagraph"/>
              <w:numPr>
                <w:ilvl w:val="0"/>
                <w:numId w:val="14"/>
              </w:numPr>
              <w:spacing w:before="120" w:after="120"/>
              <w:rPr>
                <w:b/>
              </w:rPr>
            </w:pPr>
            <w:r w:rsidRPr="005A2F61">
              <w:rPr>
                <w:b/>
              </w:rPr>
              <w:t>Communication</w:t>
            </w:r>
          </w:p>
        </w:tc>
        <w:tc>
          <w:tcPr>
            <w:tcW w:w="6521" w:type="dxa"/>
          </w:tcPr>
          <w:p w14:paraId="00D98879" w14:textId="77777777" w:rsidR="00753D4E" w:rsidRPr="00EC09FD" w:rsidRDefault="00753D4E" w:rsidP="007037E4">
            <w:pPr>
              <w:spacing w:before="120" w:after="120"/>
            </w:pPr>
            <w:proofErr w:type="spellStart"/>
            <w:r>
              <w:t>ERAC</w:t>
            </w:r>
            <w:proofErr w:type="spellEnd"/>
            <w:r>
              <w:t xml:space="preserve">, </w:t>
            </w:r>
            <w:proofErr w:type="spellStart"/>
            <w:r>
              <w:t>RWP</w:t>
            </w:r>
            <w:proofErr w:type="spellEnd"/>
            <w:r>
              <w:t xml:space="preserve">, </w:t>
            </w:r>
            <w:proofErr w:type="spellStart"/>
            <w:r>
              <w:t>COMPET</w:t>
            </w:r>
            <w:proofErr w:type="spellEnd"/>
            <w:r>
              <w:t xml:space="preserve"> Council, ERA Forum</w:t>
            </w:r>
          </w:p>
        </w:tc>
      </w:tr>
      <w:tr w:rsidR="00753D4E" w14:paraId="1632288F" w14:textId="77777777" w:rsidTr="00753D4E">
        <w:tc>
          <w:tcPr>
            <w:tcW w:w="2972" w:type="dxa"/>
          </w:tcPr>
          <w:p w14:paraId="41E6C23E" w14:textId="77777777" w:rsidR="00753D4E" w:rsidRPr="005A2F61" w:rsidRDefault="00753D4E" w:rsidP="00753D4E">
            <w:pPr>
              <w:pStyle w:val="ListParagraph"/>
              <w:numPr>
                <w:ilvl w:val="0"/>
                <w:numId w:val="14"/>
              </w:numPr>
              <w:spacing w:before="120" w:after="120"/>
              <w:rPr>
                <w:b/>
              </w:rPr>
            </w:pPr>
            <w:r w:rsidRPr="005A2F61">
              <w:rPr>
                <w:b/>
              </w:rPr>
              <w:t>Additional information</w:t>
            </w:r>
          </w:p>
        </w:tc>
        <w:tc>
          <w:tcPr>
            <w:tcW w:w="6521" w:type="dxa"/>
          </w:tcPr>
          <w:p w14:paraId="4CB6A704" w14:textId="77777777" w:rsidR="00753D4E" w:rsidRDefault="00753D4E" w:rsidP="007037E4">
            <w:pPr>
              <w:spacing w:before="120" w:after="120"/>
            </w:pPr>
          </w:p>
        </w:tc>
      </w:tr>
    </w:tbl>
    <w:p w14:paraId="149A72F5" w14:textId="77777777" w:rsidR="00753D4E" w:rsidRDefault="00753D4E" w:rsidP="00612C8D"/>
    <w:sectPr w:rsidR="00753D4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8F396" w14:textId="77777777" w:rsidR="00612C8D" w:rsidRDefault="00612C8D" w:rsidP="00612C8D">
      <w:pPr>
        <w:spacing w:after="0" w:line="240" w:lineRule="auto"/>
      </w:pPr>
      <w:r>
        <w:separator/>
      </w:r>
    </w:p>
  </w:endnote>
  <w:endnote w:type="continuationSeparator" w:id="0">
    <w:p w14:paraId="72A3D3EC" w14:textId="77777777" w:rsidR="00612C8D" w:rsidRDefault="00612C8D" w:rsidP="0061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676975"/>
      <w:docPartObj>
        <w:docPartGallery w:val="Page Numbers (Bottom of Page)"/>
        <w:docPartUnique/>
      </w:docPartObj>
    </w:sdtPr>
    <w:sdtEndPr>
      <w:rPr>
        <w:noProof/>
      </w:rPr>
    </w:sdtEndPr>
    <w:sdtContent>
      <w:p w14:paraId="3D3D22A9" w14:textId="684711CC" w:rsidR="00612C8D" w:rsidRDefault="00612C8D">
        <w:pPr>
          <w:pStyle w:val="Footer"/>
          <w:jc w:val="center"/>
        </w:pPr>
        <w:r>
          <w:fldChar w:fldCharType="begin"/>
        </w:r>
        <w:r>
          <w:instrText xml:space="preserve"> PAGE   \* MERGEFORMAT </w:instrText>
        </w:r>
        <w:r>
          <w:fldChar w:fldCharType="separate"/>
        </w:r>
        <w:r w:rsidR="008053BA">
          <w:rPr>
            <w:noProof/>
          </w:rPr>
          <w:t>1</w:t>
        </w:r>
        <w:r>
          <w:rPr>
            <w:noProof/>
          </w:rPr>
          <w:fldChar w:fldCharType="end"/>
        </w:r>
      </w:p>
    </w:sdtContent>
  </w:sdt>
  <w:p w14:paraId="5A39BBE3" w14:textId="77777777" w:rsidR="00612C8D" w:rsidRDefault="00612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B940D" w14:textId="77777777" w:rsidR="00612C8D" w:rsidRDefault="00612C8D" w:rsidP="00612C8D">
      <w:pPr>
        <w:spacing w:after="0" w:line="240" w:lineRule="auto"/>
      </w:pPr>
      <w:r>
        <w:separator/>
      </w:r>
    </w:p>
  </w:footnote>
  <w:footnote w:type="continuationSeparator" w:id="0">
    <w:p w14:paraId="0E27B00A" w14:textId="77777777" w:rsidR="00612C8D" w:rsidRDefault="00612C8D" w:rsidP="00612C8D">
      <w:pPr>
        <w:spacing w:after="0" w:line="240" w:lineRule="auto"/>
      </w:pPr>
      <w:r>
        <w:continuationSeparator/>
      </w:r>
    </w:p>
  </w:footnote>
  <w:footnote w:id="1">
    <w:p w14:paraId="4D6B3A41" w14:textId="77777777" w:rsidR="00753D4E" w:rsidRPr="00753D4E" w:rsidRDefault="00753D4E" w:rsidP="00753D4E">
      <w:pPr>
        <w:pStyle w:val="FootnoteText"/>
        <w:rPr>
          <w:lang w:val="en-US"/>
        </w:rPr>
      </w:pPr>
      <w:r>
        <w:rPr>
          <w:rStyle w:val="FootnoteReference"/>
        </w:rPr>
        <w:footnoteRef/>
      </w:r>
      <w:r>
        <w:t xml:space="preserve"> </w:t>
      </w:r>
      <w:r>
        <w:rPr>
          <w:lang w:val="en-IE"/>
        </w:rPr>
        <w:t>Please fill in these boxes.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32809"/>
    <w:multiLevelType w:val="hybridMultilevel"/>
    <w:tmpl w:val="FFFFFFFF"/>
    <w:lvl w:ilvl="0" w:tplc="5BA8D56C">
      <w:start w:val="1"/>
      <w:numFmt w:val="bullet"/>
      <w:lvlText w:val=""/>
      <w:lvlJc w:val="left"/>
      <w:pPr>
        <w:ind w:left="720" w:hanging="360"/>
      </w:pPr>
      <w:rPr>
        <w:rFonts w:ascii="Symbol" w:hAnsi="Symbol" w:hint="default"/>
      </w:rPr>
    </w:lvl>
    <w:lvl w:ilvl="1" w:tplc="4234103C">
      <w:start w:val="1"/>
      <w:numFmt w:val="bullet"/>
      <w:lvlText w:val="o"/>
      <w:lvlJc w:val="left"/>
      <w:pPr>
        <w:ind w:left="1440" w:hanging="360"/>
      </w:pPr>
      <w:rPr>
        <w:rFonts w:ascii="Courier New" w:hAnsi="Courier New" w:hint="default"/>
      </w:rPr>
    </w:lvl>
    <w:lvl w:ilvl="2" w:tplc="3BD8169A">
      <w:start w:val="1"/>
      <w:numFmt w:val="bullet"/>
      <w:lvlText w:val=""/>
      <w:lvlJc w:val="left"/>
      <w:pPr>
        <w:ind w:left="2160" w:hanging="360"/>
      </w:pPr>
      <w:rPr>
        <w:rFonts w:ascii="Wingdings" w:hAnsi="Wingdings" w:hint="default"/>
      </w:rPr>
    </w:lvl>
    <w:lvl w:ilvl="3" w:tplc="61882BF6">
      <w:start w:val="1"/>
      <w:numFmt w:val="bullet"/>
      <w:lvlText w:val=""/>
      <w:lvlJc w:val="left"/>
      <w:pPr>
        <w:ind w:left="2880" w:hanging="360"/>
      </w:pPr>
      <w:rPr>
        <w:rFonts w:ascii="Symbol" w:hAnsi="Symbol" w:hint="default"/>
      </w:rPr>
    </w:lvl>
    <w:lvl w:ilvl="4" w:tplc="C1B82766">
      <w:start w:val="1"/>
      <w:numFmt w:val="bullet"/>
      <w:lvlText w:val="o"/>
      <w:lvlJc w:val="left"/>
      <w:pPr>
        <w:ind w:left="3600" w:hanging="360"/>
      </w:pPr>
      <w:rPr>
        <w:rFonts w:ascii="Courier New" w:hAnsi="Courier New" w:hint="default"/>
      </w:rPr>
    </w:lvl>
    <w:lvl w:ilvl="5" w:tplc="D052823C">
      <w:start w:val="1"/>
      <w:numFmt w:val="bullet"/>
      <w:lvlText w:val=""/>
      <w:lvlJc w:val="left"/>
      <w:pPr>
        <w:ind w:left="4320" w:hanging="360"/>
      </w:pPr>
      <w:rPr>
        <w:rFonts w:ascii="Wingdings" w:hAnsi="Wingdings" w:hint="default"/>
      </w:rPr>
    </w:lvl>
    <w:lvl w:ilvl="6" w:tplc="AB882482">
      <w:start w:val="1"/>
      <w:numFmt w:val="bullet"/>
      <w:lvlText w:val=""/>
      <w:lvlJc w:val="left"/>
      <w:pPr>
        <w:ind w:left="5040" w:hanging="360"/>
      </w:pPr>
      <w:rPr>
        <w:rFonts w:ascii="Symbol" w:hAnsi="Symbol" w:hint="default"/>
      </w:rPr>
    </w:lvl>
    <w:lvl w:ilvl="7" w:tplc="FFB8FE7A">
      <w:start w:val="1"/>
      <w:numFmt w:val="bullet"/>
      <w:lvlText w:val="o"/>
      <w:lvlJc w:val="left"/>
      <w:pPr>
        <w:ind w:left="5760" w:hanging="360"/>
      </w:pPr>
      <w:rPr>
        <w:rFonts w:ascii="Courier New" w:hAnsi="Courier New" w:hint="default"/>
      </w:rPr>
    </w:lvl>
    <w:lvl w:ilvl="8" w:tplc="5C20ABA2">
      <w:start w:val="1"/>
      <w:numFmt w:val="bullet"/>
      <w:lvlText w:val=""/>
      <w:lvlJc w:val="left"/>
      <w:pPr>
        <w:ind w:left="6480" w:hanging="360"/>
      </w:pPr>
      <w:rPr>
        <w:rFonts w:ascii="Wingdings" w:hAnsi="Wingdings" w:hint="default"/>
      </w:rPr>
    </w:lvl>
  </w:abstractNum>
  <w:abstractNum w:abstractNumId="1" w15:restartNumberingAfterBreak="0">
    <w:nsid w:val="2E6218A5"/>
    <w:multiLevelType w:val="hybridMultilevel"/>
    <w:tmpl w:val="4FA8635C"/>
    <w:lvl w:ilvl="0" w:tplc="BCCA32C0">
      <w:start w:val="1"/>
      <w:numFmt w:val="decimal"/>
      <w:lvlText w:val="%1."/>
      <w:lvlJc w:val="left"/>
      <w:pPr>
        <w:ind w:left="467" w:hanging="360"/>
      </w:pPr>
      <w:rPr>
        <w:rFonts w:hint="default"/>
      </w:rPr>
    </w:lvl>
    <w:lvl w:ilvl="1" w:tplc="18090019" w:tentative="1">
      <w:start w:val="1"/>
      <w:numFmt w:val="lowerLetter"/>
      <w:lvlText w:val="%2."/>
      <w:lvlJc w:val="left"/>
      <w:pPr>
        <w:ind w:left="1187" w:hanging="360"/>
      </w:pPr>
    </w:lvl>
    <w:lvl w:ilvl="2" w:tplc="1809001B" w:tentative="1">
      <w:start w:val="1"/>
      <w:numFmt w:val="lowerRoman"/>
      <w:lvlText w:val="%3."/>
      <w:lvlJc w:val="right"/>
      <w:pPr>
        <w:ind w:left="1907" w:hanging="180"/>
      </w:pPr>
    </w:lvl>
    <w:lvl w:ilvl="3" w:tplc="1809000F" w:tentative="1">
      <w:start w:val="1"/>
      <w:numFmt w:val="decimal"/>
      <w:lvlText w:val="%4."/>
      <w:lvlJc w:val="left"/>
      <w:pPr>
        <w:ind w:left="2627" w:hanging="360"/>
      </w:pPr>
    </w:lvl>
    <w:lvl w:ilvl="4" w:tplc="18090019" w:tentative="1">
      <w:start w:val="1"/>
      <w:numFmt w:val="lowerLetter"/>
      <w:lvlText w:val="%5."/>
      <w:lvlJc w:val="left"/>
      <w:pPr>
        <w:ind w:left="3347" w:hanging="360"/>
      </w:pPr>
    </w:lvl>
    <w:lvl w:ilvl="5" w:tplc="1809001B" w:tentative="1">
      <w:start w:val="1"/>
      <w:numFmt w:val="lowerRoman"/>
      <w:lvlText w:val="%6."/>
      <w:lvlJc w:val="right"/>
      <w:pPr>
        <w:ind w:left="4067" w:hanging="180"/>
      </w:pPr>
    </w:lvl>
    <w:lvl w:ilvl="6" w:tplc="1809000F" w:tentative="1">
      <w:start w:val="1"/>
      <w:numFmt w:val="decimal"/>
      <w:lvlText w:val="%7."/>
      <w:lvlJc w:val="left"/>
      <w:pPr>
        <w:ind w:left="4787" w:hanging="360"/>
      </w:pPr>
    </w:lvl>
    <w:lvl w:ilvl="7" w:tplc="18090019" w:tentative="1">
      <w:start w:val="1"/>
      <w:numFmt w:val="lowerLetter"/>
      <w:lvlText w:val="%8."/>
      <w:lvlJc w:val="left"/>
      <w:pPr>
        <w:ind w:left="5507" w:hanging="360"/>
      </w:pPr>
    </w:lvl>
    <w:lvl w:ilvl="8" w:tplc="1809001B" w:tentative="1">
      <w:start w:val="1"/>
      <w:numFmt w:val="lowerRoman"/>
      <w:lvlText w:val="%9."/>
      <w:lvlJc w:val="right"/>
      <w:pPr>
        <w:ind w:left="6227" w:hanging="180"/>
      </w:pPr>
    </w:lvl>
  </w:abstractNum>
  <w:abstractNum w:abstractNumId="2" w15:restartNumberingAfterBreak="0">
    <w:nsid w:val="2EED0003"/>
    <w:multiLevelType w:val="hybridMultilevel"/>
    <w:tmpl w:val="3D10FA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50C5C9D"/>
    <w:multiLevelType w:val="hybridMultilevel"/>
    <w:tmpl w:val="766EFA00"/>
    <w:lvl w:ilvl="0" w:tplc="75DC1A36">
      <w:start w:val="1"/>
      <w:numFmt w:val="bullet"/>
      <w:lvlText w:val=""/>
      <w:lvlJc w:val="left"/>
      <w:pPr>
        <w:ind w:left="720" w:hanging="360"/>
      </w:pPr>
      <w:rPr>
        <w:rFonts w:ascii="Symbol" w:hAnsi="Symbol" w:hint="default"/>
      </w:rPr>
    </w:lvl>
    <w:lvl w:ilvl="1" w:tplc="11AEA55C">
      <w:start w:val="1"/>
      <w:numFmt w:val="bullet"/>
      <w:lvlText w:val="o"/>
      <w:lvlJc w:val="left"/>
      <w:pPr>
        <w:ind w:left="1440" w:hanging="360"/>
      </w:pPr>
      <w:rPr>
        <w:rFonts w:ascii="Courier New" w:hAnsi="Courier New" w:hint="default"/>
      </w:rPr>
    </w:lvl>
    <w:lvl w:ilvl="2" w:tplc="51628B7A">
      <w:start w:val="1"/>
      <w:numFmt w:val="bullet"/>
      <w:lvlText w:val=""/>
      <w:lvlJc w:val="left"/>
      <w:pPr>
        <w:ind w:left="2160" w:hanging="360"/>
      </w:pPr>
      <w:rPr>
        <w:rFonts w:ascii="Wingdings" w:hAnsi="Wingdings" w:hint="default"/>
      </w:rPr>
    </w:lvl>
    <w:lvl w:ilvl="3" w:tplc="62BE7172">
      <w:start w:val="1"/>
      <w:numFmt w:val="bullet"/>
      <w:lvlText w:val=""/>
      <w:lvlJc w:val="left"/>
      <w:pPr>
        <w:ind w:left="2880" w:hanging="360"/>
      </w:pPr>
      <w:rPr>
        <w:rFonts w:ascii="Symbol" w:hAnsi="Symbol" w:hint="default"/>
      </w:rPr>
    </w:lvl>
    <w:lvl w:ilvl="4" w:tplc="9D5E9E4A">
      <w:start w:val="1"/>
      <w:numFmt w:val="bullet"/>
      <w:lvlText w:val="o"/>
      <w:lvlJc w:val="left"/>
      <w:pPr>
        <w:ind w:left="3600" w:hanging="360"/>
      </w:pPr>
      <w:rPr>
        <w:rFonts w:ascii="Courier New" w:hAnsi="Courier New" w:hint="default"/>
      </w:rPr>
    </w:lvl>
    <w:lvl w:ilvl="5" w:tplc="0B0E8BAA">
      <w:start w:val="1"/>
      <w:numFmt w:val="bullet"/>
      <w:lvlText w:val=""/>
      <w:lvlJc w:val="left"/>
      <w:pPr>
        <w:ind w:left="4320" w:hanging="360"/>
      </w:pPr>
      <w:rPr>
        <w:rFonts w:ascii="Wingdings" w:hAnsi="Wingdings" w:hint="default"/>
      </w:rPr>
    </w:lvl>
    <w:lvl w:ilvl="6" w:tplc="8BA82892">
      <w:start w:val="1"/>
      <w:numFmt w:val="bullet"/>
      <w:lvlText w:val=""/>
      <w:lvlJc w:val="left"/>
      <w:pPr>
        <w:ind w:left="5040" w:hanging="360"/>
      </w:pPr>
      <w:rPr>
        <w:rFonts w:ascii="Symbol" w:hAnsi="Symbol" w:hint="default"/>
      </w:rPr>
    </w:lvl>
    <w:lvl w:ilvl="7" w:tplc="C7DE1BE4">
      <w:start w:val="1"/>
      <w:numFmt w:val="bullet"/>
      <w:lvlText w:val="o"/>
      <w:lvlJc w:val="left"/>
      <w:pPr>
        <w:ind w:left="5760" w:hanging="360"/>
      </w:pPr>
      <w:rPr>
        <w:rFonts w:ascii="Courier New" w:hAnsi="Courier New" w:hint="default"/>
      </w:rPr>
    </w:lvl>
    <w:lvl w:ilvl="8" w:tplc="64966C76">
      <w:start w:val="1"/>
      <w:numFmt w:val="bullet"/>
      <w:lvlText w:val=""/>
      <w:lvlJc w:val="left"/>
      <w:pPr>
        <w:ind w:left="6480" w:hanging="360"/>
      </w:pPr>
      <w:rPr>
        <w:rFonts w:ascii="Wingdings" w:hAnsi="Wingdings" w:hint="default"/>
      </w:rPr>
    </w:lvl>
  </w:abstractNum>
  <w:abstractNum w:abstractNumId="4" w15:restartNumberingAfterBreak="0">
    <w:nsid w:val="3B55687F"/>
    <w:multiLevelType w:val="hybridMultilevel"/>
    <w:tmpl w:val="3D10F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1B7655"/>
    <w:multiLevelType w:val="hybridMultilevel"/>
    <w:tmpl w:val="02AE4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A241E7"/>
    <w:multiLevelType w:val="hybridMultilevel"/>
    <w:tmpl w:val="1F94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433B74"/>
    <w:multiLevelType w:val="hybridMultilevel"/>
    <w:tmpl w:val="0E7C1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7127AC"/>
    <w:multiLevelType w:val="hybridMultilevel"/>
    <w:tmpl w:val="FFFFFFFF"/>
    <w:lvl w:ilvl="0" w:tplc="5888E06A">
      <w:start w:val="1"/>
      <w:numFmt w:val="decimal"/>
      <w:lvlText w:val="%1."/>
      <w:lvlJc w:val="left"/>
      <w:pPr>
        <w:ind w:left="720" w:hanging="360"/>
      </w:pPr>
    </w:lvl>
    <w:lvl w:ilvl="1" w:tplc="BE402AB6">
      <w:start w:val="1"/>
      <w:numFmt w:val="lowerLetter"/>
      <w:lvlText w:val="%2."/>
      <w:lvlJc w:val="left"/>
      <w:pPr>
        <w:ind w:left="1440" w:hanging="360"/>
      </w:pPr>
    </w:lvl>
    <w:lvl w:ilvl="2" w:tplc="D1787318">
      <w:start w:val="1"/>
      <w:numFmt w:val="lowerRoman"/>
      <w:lvlText w:val="%3."/>
      <w:lvlJc w:val="right"/>
      <w:pPr>
        <w:ind w:left="2160" w:hanging="180"/>
      </w:pPr>
    </w:lvl>
    <w:lvl w:ilvl="3" w:tplc="BB289E08">
      <w:start w:val="1"/>
      <w:numFmt w:val="decimal"/>
      <w:lvlText w:val="%4."/>
      <w:lvlJc w:val="left"/>
      <w:pPr>
        <w:ind w:left="2880" w:hanging="360"/>
      </w:pPr>
    </w:lvl>
    <w:lvl w:ilvl="4" w:tplc="04EC3FF2">
      <w:start w:val="1"/>
      <w:numFmt w:val="lowerLetter"/>
      <w:lvlText w:val="%5."/>
      <w:lvlJc w:val="left"/>
      <w:pPr>
        <w:ind w:left="3600" w:hanging="360"/>
      </w:pPr>
    </w:lvl>
    <w:lvl w:ilvl="5" w:tplc="7A50D9F6">
      <w:start w:val="1"/>
      <w:numFmt w:val="lowerRoman"/>
      <w:lvlText w:val="%6."/>
      <w:lvlJc w:val="right"/>
      <w:pPr>
        <w:ind w:left="4320" w:hanging="180"/>
      </w:pPr>
    </w:lvl>
    <w:lvl w:ilvl="6" w:tplc="4394199E">
      <w:start w:val="1"/>
      <w:numFmt w:val="decimal"/>
      <w:lvlText w:val="%7."/>
      <w:lvlJc w:val="left"/>
      <w:pPr>
        <w:ind w:left="5040" w:hanging="360"/>
      </w:pPr>
    </w:lvl>
    <w:lvl w:ilvl="7" w:tplc="2C3A22B2">
      <w:start w:val="1"/>
      <w:numFmt w:val="lowerLetter"/>
      <w:lvlText w:val="%8."/>
      <w:lvlJc w:val="left"/>
      <w:pPr>
        <w:ind w:left="5760" w:hanging="360"/>
      </w:pPr>
    </w:lvl>
    <w:lvl w:ilvl="8" w:tplc="4F783AF0">
      <w:start w:val="1"/>
      <w:numFmt w:val="lowerRoman"/>
      <w:lvlText w:val="%9."/>
      <w:lvlJc w:val="right"/>
      <w:pPr>
        <w:ind w:left="6480" w:hanging="180"/>
      </w:pPr>
    </w:lvl>
  </w:abstractNum>
  <w:abstractNum w:abstractNumId="9" w15:restartNumberingAfterBreak="0">
    <w:nsid w:val="67D639A6"/>
    <w:multiLevelType w:val="hybridMultilevel"/>
    <w:tmpl w:val="AC4EA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A76B0F"/>
    <w:multiLevelType w:val="hybridMultilevel"/>
    <w:tmpl w:val="FFFFFFFF"/>
    <w:lvl w:ilvl="0" w:tplc="EEC0F4D0">
      <w:start w:val="1"/>
      <w:numFmt w:val="lowerLetter"/>
      <w:lvlText w:val="%1."/>
      <w:lvlJc w:val="left"/>
      <w:pPr>
        <w:ind w:left="720" w:hanging="360"/>
      </w:pPr>
    </w:lvl>
    <w:lvl w:ilvl="1" w:tplc="7AC66388">
      <w:start w:val="1"/>
      <w:numFmt w:val="lowerLetter"/>
      <w:lvlText w:val="%2."/>
      <w:lvlJc w:val="left"/>
      <w:pPr>
        <w:ind w:left="1440" w:hanging="360"/>
      </w:pPr>
    </w:lvl>
    <w:lvl w:ilvl="2" w:tplc="D19CFAD0">
      <w:start w:val="1"/>
      <w:numFmt w:val="lowerRoman"/>
      <w:lvlText w:val="%3."/>
      <w:lvlJc w:val="right"/>
      <w:pPr>
        <w:ind w:left="2160" w:hanging="180"/>
      </w:pPr>
    </w:lvl>
    <w:lvl w:ilvl="3" w:tplc="A5AC51E4">
      <w:start w:val="1"/>
      <w:numFmt w:val="decimal"/>
      <w:lvlText w:val="%4."/>
      <w:lvlJc w:val="left"/>
      <w:pPr>
        <w:ind w:left="2880" w:hanging="360"/>
      </w:pPr>
    </w:lvl>
    <w:lvl w:ilvl="4" w:tplc="09E84F7A">
      <w:start w:val="1"/>
      <w:numFmt w:val="lowerLetter"/>
      <w:lvlText w:val="%5."/>
      <w:lvlJc w:val="left"/>
      <w:pPr>
        <w:ind w:left="3600" w:hanging="360"/>
      </w:pPr>
    </w:lvl>
    <w:lvl w:ilvl="5" w:tplc="50DA461A">
      <w:start w:val="1"/>
      <w:numFmt w:val="lowerRoman"/>
      <w:lvlText w:val="%6."/>
      <w:lvlJc w:val="right"/>
      <w:pPr>
        <w:ind w:left="4320" w:hanging="180"/>
      </w:pPr>
    </w:lvl>
    <w:lvl w:ilvl="6" w:tplc="A84E2758">
      <w:start w:val="1"/>
      <w:numFmt w:val="decimal"/>
      <w:lvlText w:val="%7."/>
      <w:lvlJc w:val="left"/>
      <w:pPr>
        <w:ind w:left="5040" w:hanging="360"/>
      </w:pPr>
    </w:lvl>
    <w:lvl w:ilvl="7" w:tplc="A17EFBF0">
      <w:start w:val="1"/>
      <w:numFmt w:val="lowerLetter"/>
      <w:lvlText w:val="%8."/>
      <w:lvlJc w:val="left"/>
      <w:pPr>
        <w:ind w:left="5760" w:hanging="360"/>
      </w:pPr>
    </w:lvl>
    <w:lvl w:ilvl="8" w:tplc="B2C2592E">
      <w:start w:val="1"/>
      <w:numFmt w:val="lowerRoman"/>
      <w:lvlText w:val="%9."/>
      <w:lvlJc w:val="right"/>
      <w:pPr>
        <w:ind w:left="6480" w:hanging="180"/>
      </w:pPr>
    </w:lvl>
  </w:abstractNum>
  <w:abstractNum w:abstractNumId="11" w15:restartNumberingAfterBreak="0">
    <w:nsid w:val="6BDE7582"/>
    <w:multiLevelType w:val="hybridMultilevel"/>
    <w:tmpl w:val="FCD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AC3358"/>
    <w:multiLevelType w:val="hybridMultilevel"/>
    <w:tmpl w:val="FFFFFFFF"/>
    <w:lvl w:ilvl="0" w:tplc="067297CC">
      <w:start w:val="1"/>
      <w:numFmt w:val="bullet"/>
      <w:lvlText w:val=""/>
      <w:lvlJc w:val="left"/>
      <w:pPr>
        <w:ind w:left="720" w:hanging="360"/>
      </w:pPr>
      <w:rPr>
        <w:rFonts w:ascii="Symbol" w:hAnsi="Symbol" w:hint="default"/>
      </w:rPr>
    </w:lvl>
    <w:lvl w:ilvl="1" w:tplc="E02A4D70">
      <w:start w:val="1"/>
      <w:numFmt w:val="bullet"/>
      <w:lvlText w:val="o"/>
      <w:lvlJc w:val="left"/>
      <w:pPr>
        <w:ind w:left="1440" w:hanging="360"/>
      </w:pPr>
      <w:rPr>
        <w:rFonts w:ascii="Courier New" w:hAnsi="Courier New" w:hint="default"/>
      </w:rPr>
    </w:lvl>
    <w:lvl w:ilvl="2" w:tplc="0F44E684">
      <w:start w:val="1"/>
      <w:numFmt w:val="bullet"/>
      <w:lvlText w:val=""/>
      <w:lvlJc w:val="left"/>
      <w:pPr>
        <w:ind w:left="2160" w:hanging="360"/>
      </w:pPr>
      <w:rPr>
        <w:rFonts w:ascii="Wingdings" w:hAnsi="Wingdings" w:hint="default"/>
      </w:rPr>
    </w:lvl>
    <w:lvl w:ilvl="3" w:tplc="0F50AD20">
      <w:start w:val="1"/>
      <w:numFmt w:val="bullet"/>
      <w:lvlText w:val=""/>
      <w:lvlJc w:val="left"/>
      <w:pPr>
        <w:ind w:left="2880" w:hanging="360"/>
      </w:pPr>
      <w:rPr>
        <w:rFonts w:ascii="Symbol" w:hAnsi="Symbol" w:hint="default"/>
      </w:rPr>
    </w:lvl>
    <w:lvl w:ilvl="4" w:tplc="14F8D930">
      <w:start w:val="1"/>
      <w:numFmt w:val="bullet"/>
      <w:lvlText w:val="o"/>
      <w:lvlJc w:val="left"/>
      <w:pPr>
        <w:ind w:left="3600" w:hanging="360"/>
      </w:pPr>
      <w:rPr>
        <w:rFonts w:ascii="Courier New" w:hAnsi="Courier New" w:hint="default"/>
      </w:rPr>
    </w:lvl>
    <w:lvl w:ilvl="5" w:tplc="894CCEB4">
      <w:start w:val="1"/>
      <w:numFmt w:val="bullet"/>
      <w:lvlText w:val=""/>
      <w:lvlJc w:val="left"/>
      <w:pPr>
        <w:ind w:left="4320" w:hanging="360"/>
      </w:pPr>
      <w:rPr>
        <w:rFonts w:ascii="Wingdings" w:hAnsi="Wingdings" w:hint="default"/>
      </w:rPr>
    </w:lvl>
    <w:lvl w:ilvl="6" w:tplc="4406FB7C">
      <w:start w:val="1"/>
      <w:numFmt w:val="bullet"/>
      <w:lvlText w:val=""/>
      <w:lvlJc w:val="left"/>
      <w:pPr>
        <w:ind w:left="5040" w:hanging="360"/>
      </w:pPr>
      <w:rPr>
        <w:rFonts w:ascii="Symbol" w:hAnsi="Symbol" w:hint="default"/>
      </w:rPr>
    </w:lvl>
    <w:lvl w:ilvl="7" w:tplc="8BDCECC2">
      <w:start w:val="1"/>
      <w:numFmt w:val="bullet"/>
      <w:lvlText w:val="o"/>
      <w:lvlJc w:val="left"/>
      <w:pPr>
        <w:ind w:left="5760" w:hanging="360"/>
      </w:pPr>
      <w:rPr>
        <w:rFonts w:ascii="Courier New" w:hAnsi="Courier New" w:hint="default"/>
      </w:rPr>
    </w:lvl>
    <w:lvl w:ilvl="8" w:tplc="78D4F8FC">
      <w:start w:val="1"/>
      <w:numFmt w:val="bullet"/>
      <w:lvlText w:val=""/>
      <w:lvlJc w:val="left"/>
      <w:pPr>
        <w:ind w:left="6480" w:hanging="360"/>
      </w:pPr>
      <w:rPr>
        <w:rFonts w:ascii="Wingdings" w:hAnsi="Wingdings" w:hint="default"/>
      </w:rPr>
    </w:lvl>
  </w:abstractNum>
  <w:abstractNum w:abstractNumId="13" w15:restartNumberingAfterBreak="0">
    <w:nsid w:val="7FBC1F7F"/>
    <w:multiLevelType w:val="hybridMultilevel"/>
    <w:tmpl w:val="0E16D110"/>
    <w:lvl w:ilvl="0" w:tplc="D472C8C8">
      <w:start w:val="1"/>
      <w:numFmt w:val="lowerLetter"/>
      <w:lvlText w:val="%1)"/>
      <w:lvlJc w:val="left"/>
      <w:pPr>
        <w:ind w:left="107" w:hanging="720"/>
      </w:pPr>
      <w:rPr>
        <w:rFonts w:ascii="Calibri" w:eastAsia="Calibri" w:hAnsi="Calibri" w:cs="Calibri" w:hint="default"/>
        <w:spacing w:val="-1"/>
        <w:w w:val="100"/>
        <w:sz w:val="22"/>
        <w:szCs w:val="22"/>
        <w:lang w:val="en-US" w:eastAsia="en-US" w:bidi="ar-SA"/>
      </w:rPr>
    </w:lvl>
    <w:lvl w:ilvl="1" w:tplc="5A1A2488">
      <w:numFmt w:val="bullet"/>
      <w:lvlText w:val="•"/>
      <w:lvlJc w:val="left"/>
      <w:pPr>
        <w:ind w:left="760" w:hanging="720"/>
      </w:pPr>
      <w:rPr>
        <w:rFonts w:hint="default"/>
        <w:lang w:val="en-US" w:eastAsia="en-US" w:bidi="ar-SA"/>
      </w:rPr>
    </w:lvl>
    <w:lvl w:ilvl="2" w:tplc="E2F4414E">
      <w:numFmt w:val="bullet"/>
      <w:lvlText w:val="•"/>
      <w:lvlJc w:val="left"/>
      <w:pPr>
        <w:ind w:left="1421" w:hanging="720"/>
      </w:pPr>
      <w:rPr>
        <w:rFonts w:hint="default"/>
        <w:lang w:val="en-US" w:eastAsia="en-US" w:bidi="ar-SA"/>
      </w:rPr>
    </w:lvl>
    <w:lvl w:ilvl="3" w:tplc="9A982252">
      <w:numFmt w:val="bullet"/>
      <w:lvlText w:val="•"/>
      <w:lvlJc w:val="left"/>
      <w:pPr>
        <w:ind w:left="2082" w:hanging="720"/>
      </w:pPr>
      <w:rPr>
        <w:rFonts w:hint="default"/>
        <w:lang w:val="en-US" w:eastAsia="en-US" w:bidi="ar-SA"/>
      </w:rPr>
    </w:lvl>
    <w:lvl w:ilvl="4" w:tplc="091AA3EE">
      <w:numFmt w:val="bullet"/>
      <w:lvlText w:val="•"/>
      <w:lvlJc w:val="left"/>
      <w:pPr>
        <w:ind w:left="2742" w:hanging="720"/>
      </w:pPr>
      <w:rPr>
        <w:rFonts w:hint="default"/>
        <w:lang w:val="en-US" w:eastAsia="en-US" w:bidi="ar-SA"/>
      </w:rPr>
    </w:lvl>
    <w:lvl w:ilvl="5" w:tplc="49FCD666">
      <w:numFmt w:val="bullet"/>
      <w:lvlText w:val="•"/>
      <w:lvlJc w:val="left"/>
      <w:pPr>
        <w:ind w:left="3403" w:hanging="720"/>
      </w:pPr>
      <w:rPr>
        <w:rFonts w:hint="default"/>
        <w:lang w:val="en-US" w:eastAsia="en-US" w:bidi="ar-SA"/>
      </w:rPr>
    </w:lvl>
    <w:lvl w:ilvl="6" w:tplc="B5368DE4">
      <w:numFmt w:val="bullet"/>
      <w:lvlText w:val="•"/>
      <w:lvlJc w:val="left"/>
      <w:pPr>
        <w:ind w:left="4064" w:hanging="720"/>
      </w:pPr>
      <w:rPr>
        <w:rFonts w:hint="default"/>
        <w:lang w:val="en-US" w:eastAsia="en-US" w:bidi="ar-SA"/>
      </w:rPr>
    </w:lvl>
    <w:lvl w:ilvl="7" w:tplc="CA6E88AA">
      <w:numFmt w:val="bullet"/>
      <w:lvlText w:val="•"/>
      <w:lvlJc w:val="left"/>
      <w:pPr>
        <w:ind w:left="4724" w:hanging="720"/>
      </w:pPr>
      <w:rPr>
        <w:rFonts w:hint="default"/>
        <w:lang w:val="en-US" w:eastAsia="en-US" w:bidi="ar-SA"/>
      </w:rPr>
    </w:lvl>
    <w:lvl w:ilvl="8" w:tplc="822C674C">
      <w:numFmt w:val="bullet"/>
      <w:lvlText w:val="•"/>
      <w:lvlJc w:val="left"/>
      <w:pPr>
        <w:ind w:left="5385" w:hanging="720"/>
      </w:pPr>
      <w:rPr>
        <w:rFonts w:hint="default"/>
        <w:lang w:val="en-US" w:eastAsia="en-US" w:bidi="ar-SA"/>
      </w:rPr>
    </w:lvl>
  </w:abstractNum>
  <w:num w:numId="1">
    <w:abstractNumId w:val="3"/>
  </w:num>
  <w:num w:numId="2">
    <w:abstractNumId w:val="0"/>
  </w:num>
  <w:num w:numId="3">
    <w:abstractNumId w:val="10"/>
  </w:num>
  <w:num w:numId="4">
    <w:abstractNumId w:val="12"/>
  </w:num>
  <w:num w:numId="5">
    <w:abstractNumId w:val="8"/>
  </w:num>
  <w:num w:numId="6">
    <w:abstractNumId w:val="9"/>
  </w:num>
  <w:num w:numId="7">
    <w:abstractNumId w:val="4"/>
  </w:num>
  <w:num w:numId="8">
    <w:abstractNumId w:val="2"/>
  </w:num>
  <w:num w:numId="9">
    <w:abstractNumId w:val="6"/>
  </w:num>
  <w:num w:numId="10">
    <w:abstractNumId w:val="5"/>
  </w:num>
  <w:num w:numId="11">
    <w:abstractNumId w:val="11"/>
  </w:num>
  <w:num w:numId="12">
    <w:abstractNumId w:val="13"/>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311E6"/>
    <w:rsid w:val="00387B96"/>
    <w:rsid w:val="003A17C0"/>
    <w:rsid w:val="003A3000"/>
    <w:rsid w:val="00497CDC"/>
    <w:rsid w:val="005204D0"/>
    <w:rsid w:val="00612C8D"/>
    <w:rsid w:val="006311E6"/>
    <w:rsid w:val="00753D4E"/>
    <w:rsid w:val="007F6ADD"/>
    <w:rsid w:val="008053BA"/>
    <w:rsid w:val="0089246C"/>
    <w:rsid w:val="00A83BEB"/>
    <w:rsid w:val="00AB59F8"/>
    <w:rsid w:val="00AE5659"/>
    <w:rsid w:val="00B17F25"/>
    <w:rsid w:val="00BD2525"/>
    <w:rsid w:val="00CD32CA"/>
    <w:rsid w:val="00CD45B7"/>
    <w:rsid w:val="00CE11DA"/>
    <w:rsid w:val="00E366DC"/>
    <w:rsid w:val="00EC735A"/>
    <w:rsid w:val="00F14218"/>
    <w:rsid w:val="0190536D"/>
    <w:rsid w:val="01B6263E"/>
    <w:rsid w:val="021C0E9B"/>
    <w:rsid w:val="0438FFD8"/>
    <w:rsid w:val="07FF94F1"/>
    <w:rsid w:val="09D0D962"/>
    <w:rsid w:val="0B514A7F"/>
    <w:rsid w:val="0EC1AE3C"/>
    <w:rsid w:val="100B9345"/>
    <w:rsid w:val="11F94EFE"/>
    <w:rsid w:val="14D6B57B"/>
    <w:rsid w:val="167285DC"/>
    <w:rsid w:val="16C146C6"/>
    <w:rsid w:val="175482F0"/>
    <w:rsid w:val="1794F5D3"/>
    <w:rsid w:val="180E563D"/>
    <w:rsid w:val="1A5A2192"/>
    <w:rsid w:val="1B98FFBC"/>
    <w:rsid w:val="2485DDBF"/>
    <w:rsid w:val="25E8EB25"/>
    <w:rsid w:val="287B2877"/>
    <w:rsid w:val="2946E2C1"/>
    <w:rsid w:val="2D40EA98"/>
    <w:rsid w:val="2DEBAE1D"/>
    <w:rsid w:val="2E050510"/>
    <w:rsid w:val="30746EF5"/>
    <w:rsid w:val="32AE45D0"/>
    <w:rsid w:val="34E57832"/>
    <w:rsid w:val="390B600E"/>
    <w:rsid w:val="42CC5720"/>
    <w:rsid w:val="45074A11"/>
    <w:rsid w:val="493349B7"/>
    <w:rsid w:val="4C882A0A"/>
    <w:rsid w:val="4E23FA6B"/>
    <w:rsid w:val="5075384B"/>
    <w:rsid w:val="5558E5E1"/>
    <w:rsid w:val="56DAA176"/>
    <w:rsid w:val="589086A3"/>
    <w:rsid w:val="62702BE4"/>
    <w:rsid w:val="63111710"/>
    <w:rsid w:val="6336E9E1"/>
    <w:rsid w:val="63E829EE"/>
    <w:rsid w:val="67CB5FD6"/>
    <w:rsid w:val="6EF474A7"/>
    <w:rsid w:val="7172421C"/>
    <w:rsid w:val="737A12A1"/>
    <w:rsid w:val="76CCF088"/>
    <w:rsid w:val="7965D7C4"/>
    <w:rsid w:val="7A4763C1"/>
    <w:rsid w:val="7B117C9A"/>
    <w:rsid w:val="7C29A61F"/>
    <w:rsid w:val="7EB593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4D81"/>
  <w15:chartTrackingRefBased/>
  <w15:docId w15:val="{F6BABC08-14F3-4A1C-9B0B-EE5FAC6E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1E6"/>
    <w:pPr>
      <w:ind w:left="720"/>
      <w:contextualSpacing/>
    </w:pPr>
  </w:style>
  <w:style w:type="table" w:styleId="TableGrid">
    <w:name w:val="Table Grid"/>
    <w:basedOn w:val="TableNormal"/>
    <w:uiPriority w:val="39"/>
    <w:rsid w:val="00520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2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C8D"/>
  </w:style>
  <w:style w:type="paragraph" w:styleId="Footer">
    <w:name w:val="footer"/>
    <w:basedOn w:val="Normal"/>
    <w:link w:val="FooterChar"/>
    <w:uiPriority w:val="99"/>
    <w:unhideWhenUsed/>
    <w:rsid w:val="00612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C8D"/>
  </w:style>
  <w:style w:type="paragraph" w:styleId="BalloonText">
    <w:name w:val="Balloon Text"/>
    <w:basedOn w:val="Normal"/>
    <w:link w:val="BalloonTextChar"/>
    <w:uiPriority w:val="99"/>
    <w:semiHidden/>
    <w:unhideWhenUsed/>
    <w:rsid w:val="00F14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218"/>
    <w:rPr>
      <w:rFonts w:ascii="Segoe UI" w:hAnsi="Segoe UI" w:cs="Segoe UI"/>
      <w:sz w:val="18"/>
      <w:szCs w:val="18"/>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FootnoteText">
    <w:name w:val="footnote text"/>
    <w:basedOn w:val="Normal"/>
    <w:link w:val="FootnoteTextChar"/>
    <w:uiPriority w:val="99"/>
    <w:semiHidden/>
    <w:unhideWhenUsed/>
    <w:rsid w:val="00753D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3D4E"/>
    <w:rPr>
      <w:sz w:val="20"/>
      <w:szCs w:val="20"/>
    </w:rPr>
  </w:style>
  <w:style w:type="character" w:styleId="FootnoteReference">
    <w:name w:val="footnote reference"/>
    <w:basedOn w:val="DefaultParagraphFont"/>
    <w:uiPriority w:val="99"/>
    <w:semiHidden/>
    <w:unhideWhenUsed/>
    <w:rsid w:val="00753D4E"/>
    <w:rPr>
      <w:vertAlign w:val="superscript"/>
    </w:rPr>
  </w:style>
  <w:style w:type="table" w:customStyle="1" w:styleId="TableNormal1">
    <w:name w:val="Table Normal1"/>
    <w:uiPriority w:val="2"/>
    <w:semiHidden/>
    <w:unhideWhenUsed/>
    <w:qFormat/>
    <w:rsid w:val="00753D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3D4E"/>
    <w:pPr>
      <w:widowControl w:val="0"/>
      <w:autoSpaceDE w:val="0"/>
      <w:autoSpaceDN w:val="0"/>
      <w:spacing w:before="119" w:after="0" w:line="240" w:lineRule="auto"/>
      <w:ind w:left="107"/>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D24022E66C1540A3B1E037465E0CE3" ma:contentTypeVersion="6" ma:contentTypeDescription="Create a new document." ma:contentTypeScope="" ma:versionID="1a358eede45ef319d2a2e8bd5026bf47">
  <xsd:schema xmlns:xsd="http://www.w3.org/2001/XMLSchema" xmlns:xs="http://www.w3.org/2001/XMLSchema" xmlns:p="http://schemas.microsoft.com/office/2006/metadata/properties" xmlns:ns2="d07530ff-ae8d-4383-9420-67306a016191" xmlns:ns3="d0b4669b-3562-445a-a428-e501203eb641" targetNamespace="http://schemas.microsoft.com/office/2006/metadata/properties" ma:root="true" ma:fieldsID="22c344dc126d5dfb151c55654ddf30d0" ns2:_="" ns3:_="">
    <xsd:import namespace="d07530ff-ae8d-4383-9420-67306a016191"/>
    <xsd:import namespace="d0b4669b-3562-445a-a428-e501203eb6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530ff-ae8d-4383-9420-67306a016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4669b-3562-445a-a428-e501203eb6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401A90F-BB1F-42F4-B12B-57E5CD88257D}">
  <ds:schemaRefs>
    <ds:schemaRef ds:uri="http://schemas.microsoft.com/office/2006/documentManagement/types"/>
    <ds:schemaRef ds:uri="http://schemas.microsoft.com/office/infopath/2007/PartnerControls"/>
    <ds:schemaRef ds:uri="d0b4669b-3562-445a-a428-e501203eb641"/>
    <ds:schemaRef ds:uri="http://purl.org/dc/elements/1.1/"/>
    <ds:schemaRef ds:uri="http://schemas.microsoft.com/office/2006/metadata/properties"/>
    <ds:schemaRef ds:uri="d07530ff-ae8d-4383-9420-67306a016191"/>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C3CEDA3-FB84-4761-8589-33115203B1EF}">
  <ds:schemaRefs>
    <ds:schemaRef ds:uri="http://schemas.microsoft.com/sharepoint/v3/contenttype/forms"/>
  </ds:schemaRefs>
</ds:datastoreItem>
</file>

<file path=customXml/itemProps3.xml><?xml version="1.0" encoding="utf-8"?>
<ds:datastoreItem xmlns:ds="http://schemas.openxmlformats.org/officeDocument/2006/customXml" ds:itemID="{3558F660-F30F-4570-84A8-1D821F3B0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530ff-ae8d-4383-9420-67306a016191"/>
    <ds:schemaRef ds:uri="d0b4669b-3562-445a-a428-e501203eb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2CA389-2B28-4C16-A6F9-ED07639D6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1036</Words>
  <Characters>5795</Characters>
  <Application>Microsoft Office Word</Application>
  <DocSecurity>0</DocSecurity>
  <Lines>144</Lines>
  <Paragraphs>62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ALEIXO Manuel (RTD)</dc:creator>
  <cp:keywords/>
  <dc:description/>
  <cp:lastModifiedBy>SEIP Anna (DEVCO)</cp:lastModifiedBy>
  <cp:revision>3</cp:revision>
  <cp:lastPrinted>2022-04-05T13:27:00Z</cp:lastPrinted>
  <dcterms:created xsi:type="dcterms:W3CDTF">2022-05-12T13:39:00Z</dcterms:created>
  <dcterms:modified xsi:type="dcterms:W3CDTF">2022-05-12T14:30:00Z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0x01010043D24022E66C1540A3B1E037465E0CE3</vt:lpwstr>
  </property>
  <property fmtid="{D5CDD505-2E9C-101B-9397-08002B2CF9AE}" pid="3" name="MSIP_Label_6bd9ddd1-4d20-43f6-abfa-fc3c07406f94_Enabled">
    <vt:lpwstr>true</vt:lpwstr>
  </property>
  <property fmtid="{D5CDD505-2E9C-101B-9397-08002B2CF9AE}" pid="4" name="MSIP_Label_6bd9ddd1-4d20-43f6-abfa-fc3c07406f94_SetDate">
    <vt:lpwstr>2022-04-25T09:01:40Z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cdaf2406-395a-4324-8502-6d44eea2aa53</vt:lpwstr>
  </property>
  <property fmtid="{D5CDD505-2E9C-101B-9397-08002B2CF9AE}" pid="9" name="MSIP_Label_6bd9ddd1-4d20-43f6-abfa-fc3c07406f94_ContentBits">
    <vt:lpwstr>0</vt:lpwstr>
  </property>
</Properties>
</file>